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4C" w:rsidRPr="00997C4C" w:rsidRDefault="00997C4C" w:rsidP="00997C4C">
      <w:pPr>
        <w:jc w:val="center"/>
        <w:rPr>
          <w:rFonts w:ascii="Times New Roman" w:hAnsi="Times New Roman" w:cs="Times New Roman"/>
          <w:sz w:val="28"/>
          <w:szCs w:val="28"/>
        </w:rPr>
      </w:pPr>
      <w:r w:rsidRPr="00997C4C">
        <w:rPr>
          <w:rFonts w:ascii="Times New Roman" w:hAnsi="Times New Roman" w:cs="Times New Roman"/>
          <w:b/>
          <w:sz w:val="28"/>
          <w:szCs w:val="28"/>
        </w:rPr>
        <w:t>Требования к структуре и оформлению письменных работ обучающихся</w:t>
      </w:r>
    </w:p>
    <w:p w:rsidR="00997C4C" w:rsidRDefault="00997C4C" w:rsidP="00997C4C">
      <w:pPr>
        <w:spacing w:line="360" w:lineRule="auto"/>
        <w:jc w:val="center"/>
        <w:rPr>
          <w:rFonts w:ascii="Times New Roman" w:hAnsi="Times New Roman" w:cs="Times New Roman"/>
          <w:sz w:val="28"/>
          <w:szCs w:val="28"/>
        </w:rPr>
      </w:pPr>
    </w:p>
    <w:p w:rsidR="00997C4C"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t>5.1. К структурным элементам курсовой и научно-исследовательской работ относятся: титульный</w:t>
      </w:r>
      <w:r>
        <w:t xml:space="preserve"> </w:t>
      </w:r>
      <w:r w:rsidRPr="00997C4C">
        <w:rPr>
          <w:rFonts w:ascii="Times New Roman" w:hAnsi="Times New Roman" w:cs="Times New Roman"/>
          <w:sz w:val="28"/>
          <w:szCs w:val="28"/>
        </w:rPr>
        <w:t xml:space="preserve">лист; оглавление; введение; основная часть; заключение; список использованной литературы и источников, приложения (при наличии). Рекомендуемый объем курсовой работы составляет </w:t>
      </w:r>
      <w:r w:rsidRPr="00997C4C">
        <w:rPr>
          <w:rFonts w:ascii="Times New Roman" w:hAnsi="Times New Roman" w:cs="Times New Roman"/>
          <w:b/>
          <w:sz w:val="28"/>
          <w:szCs w:val="28"/>
        </w:rPr>
        <w:t>20-25 страниц машинописного текста</w:t>
      </w:r>
      <w:r w:rsidRPr="00997C4C">
        <w:rPr>
          <w:rFonts w:ascii="Times New Roman" w:hAnsi="Times New Roman" w:cs="Times New Roman"/>
          <w:sz w:val="28"/>
          <w:szCs w:val="28"/>
        </w:rPr>
        <w:t xml:space="preserve">, научно-исследовательской работы – 25-30 страниц машинописного текста. </w:t>
      </w:r>
    </w:p>
    <w:p w:rsidR="00997C4C"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t xml:space="preserve">5.2. К структурным элементам контрольной работы относятся: титульный лист; основная часть; список использованной литературы и источников. Рекомендуемый объем контрольной работы – 10-12 </w:t>
      </w:r>
      <w:r>
        <w:rPr>
          <w:rFonts w:ascii="Times New Roman" w:hAnsi="Times New Roman" w:cs="Times New Roman"/>
          <w:sz w:val="28"/>
          <w:szCs w:val="28"/>
        </w:rPr>
        <w:t>страниц машинописного текста.</w:t>
      </w:r>
    </w:p>
    <w:p w:rsidR="00997C4C"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t xml:space="preserve">5.3. Титульный лист (Приложение 4) – первая страница письменной работы, на которой указываются следующие реквизиты: наименование министерства; наименование образовательной организации высшего образования; наименование учебного структурного подразделения; наименование кафедры, на которой выполнена работа; название учебной дисциплины, по которой выполнена работа; название темы (вариант задания); фамилия, имя, отчество обучающегося; фамилия, инициалы, должность и ученая степень (звание) научного руководителя (для обучающихся заочной формы обучения указание научного руководителя не требуется); наименование места и год выполнения работы. </w:t>
      </w:r>
    </w:p>
    <w:p w:rsidR="00997C4C"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t xml:space="preserve">5.4. Оглавление включает в себя указание на введение, наименование всех глав, параграфов, заключение, список использованной литературы и источников, наименования приложений с указанием номеров страниц, с которых начинаются структурные элементы письменной работы. </w:t>
      </w:r>
    </w:p>
    <w:p w:rsidR="00997C4C"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t xml:space="preserve">5.5. Введение содержит обоснование темы и ее актуальности, цель и задачи работы, а также наиболее значимые научно-практические аспекты выбранной темы. </w:t>
      </w:r>
    </w:p>
    <w:p w:rsidR="00997C4C"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lastRenderedPageBreak/>
        <w:t xml:space="preserve">5.6. Основная часть курсовой, научно-исследовательской работы включает главы, разделенные, как правило, на параграфы. Эта часть строится на основе анализа научной и учебной литературы, нормативно-правовых актов, статистических данных, материалов правоприменительной практики. Основная часть контрольной работы содержит решение теоретического и (или) практического вопроса (вопросов), практической задачи (задач), творческого задания (заданий). Основная часть может быть разделена на параграфы, в каждом из которых содержится решение части задания для контрольной работы. Основная часть строится на основе анализа научной, учебной литературы, нормативно-правовых актов. Основная часть письменной работы должна содержать ссылки на использованную литературу, оформленные в соответствии с существующими стандартами (Приложение 5). Содержание основной части иллюстрируется схемами, таблицами, диаграммами, графиками, рисунками, практическими примерами, в соответствии со спецификой учебной дисциплины, по которой выполняется курсовая или научно-исследовательская работа. </w:t>
      </w:r>
    </w:p>
    <w:p w:rsidR="00997C4C"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t>5.7. В заключении последовательно излагаются теоретические и практические выводы и предложения, которые сделал обучающийся в результате исследования. Выводы должны быть краткими и четкими, давать полное представление о содержании, значимости, обоснованност</w:t>
      </w:r>
      <w:r>
        <w:rPr>
          <w:rFonts w:ascii="Times New Roman" w:hAnsi="Times New Roman" w:cs="Times New Roman"/>
          <w:sz w:val="28"/>
          <w:szCs w:val="28"/>
        </w:rPr>
        <w:t>и и эффективности разработок.</w:t>
      </w:r>
    </w:p>
    <w:p w:rsidR="00997C4C"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t xml:space="preserve">5.8. Список использованной литературы и источников (Приложение 6) рекомендуется формировать по разделам: – нормативно-правовые акты и иные официальные документы (располагаются в зависимости от их юридической силы, при этом нормативные акты, обладающие равной юридической силой, располагаются в соответствии с календарной очередностью их принятия); – монографии; – учебная и справочная литература; – статьи в научных журналах и сборниках; – диссертации и авторефераты диссертаций; – материалы правоприменительной практики; – интернет-ресурсы. Монографии, учебники, учебные пособия, статьи, </w:t>
      </w:r>
      <w:r w:rsidRPr="00997C4C">
        <w:rPr>
          <w:rFonts w:ascii="Times New Roman" w:hAnsi="Times New Roman" w:cs="Times New Roman"/>
          <w:sz w:val="28"/>
          <w:szCs w:val="28"/>
        </w:rPr>
        <w:lastRenderedPageBreak/>
        <w:t xml:space="preserve">диссертации, авторефераты диссертаций рекомендуется располагать в алфавитном порядке по авторам, а если автор на титульном листе не указан, то по названию книги, учебника, учебного пособия, статьи. В сносках обязательно указывается страница цитируемого источника. </w:t>
      </w:r>
    </w:p>
    <w:p w:rsidR="00997C4C"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t xml:space="preserve">5.9. Текст письменной работы выполняется на стандартных листах белой бумаги формата А4, кегль 14, шрифт TimesNewRoman, межстрочный интервал 1,5; ширина полей: верхнее – 2 см, левое – 3 см, правое – 1 см, нижнее – 2 см; абзацный отступ – 1,25, сноски постраничные кегль 12, шрифт TimesNewRoman, межстрочный интервал – 1. </w:t>
      </w:r>
    </w:p>
    <w:p w:rsidR="00997C4C"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t xml:space="preserve">5.10. Нумерация страниц производится вверху по центру. Страницы письменной работы следует нумеровать арабскими цифрами, соблюдая сквозную нумерацию по всему тексту работы, включая приложения. Каждый структурный элемент работы (введение, наименование всех глав, заключение, список использованной литературы и источников, наименования приложений) следует начинать с новой страницы. Новый параграф на новую страницу не переносится. Номера страниц на титульном листе и оглавлении не проставляются. Не допускаются какие-либо дополнительные, кроме номера страницы, знаки (например, нельзя указывать: - 4 -). </w:t>
      </w:r>
    </w:p>
    <w:p w:rsidR="00192590" w:rsidRDefault="00997C4C" w:rsidP="00997C4C">
      <w:pPr>
        <w:spacing w:line="360" w:lineRule="auto"/>
        <w:ind w:firstLine="708"/>
        <w:rPr>
          <w:rFonts w:ascii="Times New Roman" w:hAnsi="Times New Roman" w:cs="Times New Roman"/>
          <w:sz w:val="28"/>
          <w:szCs w:val="28"/>
        </w:rPr>
      </w:pPr>
      <w:r w:rsidRPr="00997C4C">
        <w:rPr>
          <w:rFonts w:ascii="Times New Roman" w:hAnsi="Times New Roman" w:cs="Times New Roman"/>
          <w:sz w:val="28"/>
          <w:szCs w:val="28"/>
        </w:rPr>
        <w:t>5.11. Изложение содержания курсовой, научно-исследовательской работ должно быть орфографически и синтаксически грамотным, ясным, лаконичным и без повторов. Допускается использование общепринятых сокращений.</w:t>
      </w:r>
    </w:p>
    <w:p w:rsidR="00997C4C" w:rsidRDefault="00997C4C" w:rsidP="00997C4C">
      <w:pPr>
        <w:spacing w:line="360" w:lineRule="auto"/>
        <w:ind w:firstLine="708"/>
      </w:pPr>
    </w:p>
    <w:p w:rsidR="00997C4C" w:rsidRDefault="00997C4C" w:rsidP="00997C4C">
      <w:pPr>
        <w:spacing w:line="360" w:lineRule="auto"/>
        <w:ind w:firstLine="708"/>
      </w:pPr>
    </w:p>
    <w:p w:rsidR="00997C4C" w:rsidRDefault="00997C4C" w:rsidP="00997C4C">
      <w:pPr>
        <w:spacing w:line="360" w:lineRule="auto"/>
        <w:ind w:firstLine="708"/>
      </w:pPr>
    </w:p>
    <w:p w:rsidR="00997C4C" w:rsidRDefault="00997C4C" w:rsidP="00997C4C">
      <w:pPr>
        <w:spacing w:line="360" w:lineRule="auto"/>
        <w:ind w:firstLine="708"/>
      </w:pPr>
    </w:p>
    <w:p w:rsidR="00997C4C" w:rsidRDefault="00997C4C" w:rsidP="00997C4C">
      <w:pPr>
        <w:spacing w:line="360" w:lineRule="auto"/>
        <w:ind w:firstLine="708"/>
      </w:pPr>
    </w:p>
    <w:p w:rsidR="00997C4C" w:rsidRDefault="00997C4C" w:rsidP="00997C4C">
      <w:pPr>
        <w:spacing w:line="360" w:lineRule="auto"/>
        <w:ind w:firstLine="708"/>
      </w:pPr>
    </w:p>
    <w:p w:rsidR="00997C4C" w:rsidRDefault="00997C4C" w:rsidP="00997C4C">
      <w:pPr>
        <w:spacing w:line="360" w:lineRule="auto"/>
        <w:ind w:firstLine="708"/>
      </w:pPr>
    </w:p>
    <w:p w:rsidR="00997C4C" w:rsidRDefault="00997C4C" w:rsidP="00997C4C">
      <w:pPr>
        <w:spacing w:line="360" w:lineRule="auto"/>
        <w:ind w:firstLine="708"/>
      </w:pPr>
    </w:p>
    <w:p w:rsidR="00997C4C" w:rsidRDefault="00997C4C" w:rsidP="00997C4C">
      <w:pPr>
        <w:spacing w:line="360" w:lineRule="auto"/>
        <w:ind w:firstLine="708"/>
      </w:pPr>
    </w:p>
    <w:p w:rsidR="00997C4C" w:rsidRDefault="00997C4C" w:rsidP="00997C4C">
      <w:pPr>
        <w:spacing w:line="360" w:lineRule="auto"/>
        <w:jc w:val="left"/>
        <w:rPr>
          <w:rFonts w:ascii="Times New Roman" w:hAnsi="Times New Roman" w:cs="Times New Roman"/>
          <w:b/>
        </w:rPr>
      </w:pPr>
    </w:p>
    <w:p w:rsidR="00997C4C" w:rsidRPr="00FD5F33" w:rsidRDefault="00997C4C" w:rsidP="00997C4C">
      <w:pPr>
        <w:spacing w:line="360" w:lineRule="auto"/>
        <w:jc w:val="left"/>
        <w:rPr>
          <w:i/>
          <w:sz w:val="24"/>
        </w:rPr>
      </w:pPr>
      <w:r w:rsidRPr="00FD5F33">
        <w:rPr>
          <w:rFonts w:ascii="Times New Roman" w:hAnsi="Times New Roman" w:cs="Times New Roman"/>
          <w:b/>
          <w:i/>
          <w:sz w:val="24"/>
        </w:rPr>
        <w:lastRenderedPageBreak/>
        <w:t>Образец титульного листа курсовой работы</w:t>
      </w:r>
      <w:r w:rsidRPr="00FD5F33">
        <w:rPr>
          <w:i/>
          <w:sz w:val="24"/>
        </w:rPr>
        <w:t xml:space="preserve"> </w:t>
      </w:r>
    </w:p>
    <w:p w:rsidR="00997C4C" w:rsidRPr="00997C4C" w:rsidRDefault="00997C4C" w:rsidP="00997C4C">
      <w:pPr>
        <w:spacing w:line="360" w:lineRule="auto"/>
        <w:ind w:firstLine="708"/>
        <w:jc w:val="center"/>
        <w:rPr>
          <w:rFonts w:ascii="Times New Roman" w:hAnsi="Times New Roman" w:cs="Times New Roman"/>
          <w:sz w:val="28"/>
          <w:szCs w:val="28"/>
        </w:rPr>
      </w:pPr>
      <w:r w:rsidRPr="00997C4C">
        <w:rPr>
          <w:rFonts w:ascii="Times New Roman" w:hAnsi="Times New Roman" w:cs="Times New Roman"/>
          <w:sz w:val="28"/>
          <w:szCs w:val="28"/>
        </w:rPr>
        <w:t>МИНИСТЕРСТВО НАУКИ И ВЫСШЕГО ОБРАЗОВАНИЯ РОССИЙСКОЙ ФЕДЕРАЦИИ</w:t>
      </w:r>
    </w:p>
    <w:p w:rsidR="00997C4C" w:rsidRPr="00997C4C" w:rsidRDefault="00997C4C" w:rsidP="00997C4C">
      <w:pPr>
        <w:spacing w:line="360" w:lineRule="auto"/>
        <w:ind w:firstLine="708"/>
        <w:jc w:val="center"/>
        <w:rPr>
          <w:rFonts w:ascii="Times New Roman" w:hAnsi="Times New Roman" w:cs="Times New Roman"/>
          <w:sz w:val="28"/>
          <w:szCs w:val="28"/>
        </w:rPr>
      </w:pPr>
      <w:r w:rsidRPr="00997C4C">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997C4C" w:rsidRDefault="00997C4C" w:rsidP="00997C4C">
      <w:pPr>
        <w:spacing w:line="360" w:lineRule="auto"/>
        <w:ind w:firstLine="708"/>
        <w:jc w:val="center"/>
        <w:rPr>
          <w:rFonts w:ascii="Times New Roman" w:hAnsi="Times New Roman" w:cs="Times New Roman"/>
          <w:sz w:val="28"/>
          <w:szCs w:val="28"/>
        </w:rPr>
      </w:pPr>
      <w:r w:rsidRPr="00997C4C">
        <w:rPr>
          <w:rFonts w:ascii="Times New Roman" w:hAnsi="Times New Roman" w:cs="Times New Roman"/>
          <w:sz w:val="28"/>
          <w:szCs w:val="28"/>
        </w:rPr>
        <w:t>«Саратовская государственная юридическая академия»</w:t>
      </w:r>
    </w:p>
    <w:p w:rsidR="00997C4C" w:rsidRPr="00997C4C" w:rsidRDefault="00997C4C" w:rsidP="00997C4C">
      <w:pPr>
        <w:spacing w:line="360" w:lineRule="auto"/>
        <w:ind w:firstLine="708"/>
        <w:jc w:val="center"/>
        <w:rPr>
          <w:rFonts w:ascii="Times New Roman" w:hAnsi="Times New Roman" w:cs="Times New Roman"/>
          <w:b/>
          <w:sz w:val="28"/>
          <w:szCs w:val="28"/>
        </w:rPr>
      </w:pPr>
      <w:r w:rsidRPr="00997C4C">
        <w:rPr>
          <w:rFonts w:ascii="Times New Roman" w:hAnsi="Times New Roman" w:cs="Times New Roman"/>
          <w:b/>
          <w:sz w:val="28"/>
          <w:szCs w:val="28"/>
        </w:rPr>
        <w:t>Институт второго высшего и заочного обучения</w:t>
      </w:r>
    </w:p>
    <w:p w:rsidR="00997C4C" w:rsidRDefault="00997C4C" w:rsidP="00997C4C">
      <w:pPr>
        <w:spacing w:line="360" w:lineRule="auto"/>
        <w:ind w:firstLine="708"/>
        <w:jc w:val="left"/>
        <w:rPr>
          <w:rFonts w:ascii="Times New Roman" w:hAnsi="Times New Roman" w:cs="Times New Roman"/>
          <w:b/>
          <w:sz w:val="28"/>
          <w:szCs w:val="28"/>
        </w:rPr>
      </w:pPr>
      <w:r w:rsidRPr="00997C4C">
        <w:rPr>
          <w:rFonts w:ascii="Times New Roman" w:hAnsi="Times New Roman" w:cs="Times New Roman"/>
          <w:b/>
          <w:sz w:val="28"/>
          <w:szCs w:val="28"/>
        </w:rPr>
        <w:t xml:space="preserve">                            Кафедра ______________________</w:t>
      </w:r>
    </w:p>
    <w:p w:rsidR="00997C4C" w:rsidRDefault="00997C4C" w:rsidP="00997C4C">
      <w:pPr>
        <w:spacing w:line="360" w:lineRule="auto"/>
        <w:ind w:firstLine="708"/>
        <w:jc w:val="center"/>
        <w:rPr>
          <w:rFonts w:ascii="Times New Roman" w:hAnsi="Times New Roman" w:cs="Times New Roman"/>
          <w:b/>
          <w:i/>
          <w:sz w:val="18"/>
          <w:szCs w:val="18"/>
        </w:rPr>
      </w:pPr>
      <w:r w:rsidRPr="00997C4C">
        <w:rPr>
          <w:rFonts w:ascii="Times New Roman" w:hAnsi="Times New Roman" w:cs="Times New Roman"/>
          <w:b/>
          <w:i/>
          <w:sz w:val="18"/>
          <w:szCs w:val="18"/>
        </w:rPr>
        <w:t>(указывается наименование кафедры)</w:t>
      </w:r>
    </w:p>
    <w:p w:rsidR="00997C4C" w:rsidRPr="00997C4C" w:rsidRDefault="00997C4C" w:rsidP="00997C4C">
      <w:pPr>
        <w:spacing w:line="360" w:lineRule="auto"/>
        <w:ind w:firstLine="708"/>
        <w:jc w:val="center"/>
        <w:rPr>
          <w:rFonts w:ascii="Times New Roman" w:hAnsi="Times New Roman" w:cs="Times New Roman"/>
          <w:b/>
          <w:sz w:val="28"/>
          <w:szCs w:val="28"/>
        </w:rPr>
      </w:pPr>
      <w:r w:rsidRPr="00997C4C">
        <w:rPr>
          <w:rFonts w:ascii="Times New Roman" w:hAnsi="Times New Roman" w:cs="Times New Roman"/>
          <w:b/>
          <w:sz w:val="28"/>
          <w:szCs w:val="28"/>
        </w:rPr>
        <w:t>Учебная дисциплина «___________________»</w:t>
      </w:r>
    </w:p>
    <w:p w:rsidR="00997C4C" w:rsidRPr="00997C4C" w:rsidRDefault="00997C4C" w:rsidP="00997C4C">
      <w:pPr>
        <w:spacing w:line="360" w:lineRule="auto"/>
        <w:ind w:firstLine="708"/>
        <w:jc w:val="center"/>
        <w:rPr>
          <w:rFonts w:ascii="Times New Roman" w:hAnsi="Times New Roman" w:cs="Times New Roman"/>
          <w:b/>
          <w:i/>
          <w:sz w:val="18"/>
          <w:szCs w:val="18"/>
        </w:rPr>
      </w:pPr>
      <w:r>
        <w:rPr>
          <w:rFonts w:ascii="Times New Roman" w:hAnsi="Times New Roman" w:cs="Times New Roman"/>
          <w:b/>
          <w:i/>
          <w:sz w:val="18"/>
          <w:szCs w:val="18"/>
        </w:rPr>
        <w:t xml:space="preserve">                                                            </w:t>
      </w:r>
      <w:r w:rsidRPr="00997C4C">
        <w:rPr>
          <w:rFonts w:ascii="Times New Roman" w:hAnsi="Times New Roman" w:cs="Times New Roman"/>
          <w:b/>
          <w:i/>
          <w:sz w:val="18"/>
          <w:szCs w:val="18"/>
        </w:rPr>
        <w:t>(указывается наименование дисциплины)</w:t>
      </w:r>
    </w:p>
    <w:p w:rsidR="00997C4C" w:rsidRPr="00997C4C" w:rsidRDefault="00997C4C" w:rsidP="00AB044D">
      <w:pPr>
        <w:spacing w:line="360" w:lineRule="auto"/>
        <w:ind w:firstLine="708"/>
        <w:rPr>
          <w:rFonts w:ascii="Times New Roman" w:hAnsi="Times New Roman" w:cs="Times New Roman"/>
          <w:b/>
          <w:i/>
          <w:sz w:val="18"/>
          <w:szCs w:val="18"/>
        </w:rPr>
      </w:pPr>
    </w:p>
    <w:p w:rsidR="00997C4C" w:rsidRDefault="00997C4C" w:rsidP="00AB044D">
      <w:pPr>
        <w:tabs>
          <w:tab w:val="left" w:pos="3285"/>
        </w:tabs>
        <w:jc w:val="center"/>
        <w:rPr>
          <w:rFonts w:ascii="Times New Roman" w:hAnsi="Times New Roman" w:cs="Times New Roman"/>
          <w:b/>
          <w:sz w:val="28"/>
          <w:szCs w:val="28"/>
        </w:rPr>
      </w:pPr>
      <w:r w:rsidRPr="00997C4C">
        <w:rPr>
          <w:rFonts w:ascii="Times New Roman" w:hAnsi="Times New Roman" w:cs="Times New Roman"/>
          <w:b/>
          <w:sz w:val="28"/>
          <w:szCs w:val="28"/>
        </w:rPr>
        <w:t>Курсовая работа</w:t>
      </w:r>
      <w:r w:rsidR="00AB044D">
        <w:rPr>
          <w:rFonts w:ascii="Times New Roman" w:hAnsi="Times New Roman" w:cs="Times New Roman"/>
          <w:b/>
          <w:sz w:val="28"/>
          <w:szCs w:val="28"/>
        </w:rPr>
        <w:t>/Контрольная работа</w:t>
      </w:r>
    </w:p>
    <w:p w:rsidR="00997C4C" w:rsidRDefault="00997C4C" w:rsidP="00997C4C">
      <w:pPr>
        <w:tabs>
          <w:tab w:val="left" w:pos="3285"/>
        </w:tabs>
        <w:jc w:val="center"/>
        <w:rPr>
          <w:rFonts w:ascii="Times New Roman" w:hAnsi="Times New Roman" w:cs="Times New Roman"/>
          <w:b/>
          <w:sz w:val="28"/>
          <w:szCs w:val="28"/>
        </w:rPr>
      </w:pPr>
      <w:r>
        <w:rPr>
          <w:rFonts w:ascii="Times New Roman" w:hAnsi="Times New Roman" w:cs="Times New Roman"/>
          <w:b/>
          <w:sz w:val="28"/>
          <w:szCs w:val="28"/>
        </w:rPr>
        <w:t>_____________________________</w:t>
      </w:r>
    </w:p>
    <w:p w:rsidR="00997C4C" w:rsidRDefault="00997C4C" w:rsidP="00997C4C">
      <w:pPr>
        <w:tabs>
          <w:tab w:val="left" w:pos="3285"/>
        </w:tabs>
        <w:jc w:val="center"/>
        <w:rPr>
          <w:rFonts w:ascii="Times New Roman" w:hAnsi="Times New Roman" w:cs="Times New Roman"/>
          <w:b/>
          <w:i/>
          <w:sz w:val="18"/>
          <w:szCs w:val="18"/>
        </w:rPr>
      </w:pPr>
      <w:r w:rsidRPr="00997C4C">
        <w:rPr>
          <w:rFonts w:ascii="Times New Roman" w:hAnsi="Times New Roman" w:cs="Times New Roman"/>
          <w:b/>
          <w:i/>
          <w:sz w:val="18"/>
          <w:szCs w:val="18"/>
        </w:rPr>
        <w:t>(тема курсовой работы</w:t>
      </w:r>
      <w:r w:rsidR="00AB044D">
        <w:rPr>
          <w:rFonts w:ascii="Times New Roman" w:hAnsi="Times New Roman" w:cs="Times New Roman"/>
          <w:b/>
          <w:i/>
          <w:sz w:val="18"/>
          <w:szCs w:val="18"/>
        </w:rPr>
        <w:t>/вариант контрольной работы</w:t>
      </w:r>
      <w:r w:rsidRPr="00997C4C">
        <w:rPr>
          <w:rFonts w:ascii="Times New Roman" w:hAnsi="Times New Roman" w:cs="Times New Roman"/>
          <w:b/>
          <w:i/>
          <w:sz w:val="18"/>
          <w:szCs w:val="18"/>
        </w:rPr>
        <w:t>)</w:t>
      </w:r>
    </w:p>
    <w:p w:rsidR="00997C4C" w:rsidRDefault="00997C4C" w:rsidP="00997C4C">
      <w:pPr>
        <w:tabs>
          <w:tab w:val="left" w:pos="3285"/>
        </w:tabs>
        <w:jc w:val="center"/>
        <w:rPr>
          <w:rFonts w:ascii="Times New Roman" w:hAnsi="Times New Roman" w:cs="Times New Roman"/>
          <w:b/>
          <w:i/>
          <w:sz w:val="18"/>
          <w:szCs w:val="18"/>
        </w:rPr>
      </w:pPr>
    </w:p>
    <w:p w:rsidR="00997C4C" w:rsidRDefault="00997C4C" w:rsidP="00997C4C">
      <w:pPr>
        <w:tabs>
          <w:tab w:val="left" w:pos="3285"/>
        </w:tabs>
        <w:jc w:val="center"/>
        <w:rPr>
          <w:rFonts w:ascii="Times New Roman" w:hAnsi="Times New Roman" w:cs="Times New Roman"/>
          <w:b/>
          <w:i/>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Default="00997C4C" w:rsidP="00997C4C">
      <w:pPr>
        <w:rPr>
          <w:rFonts w:ascii="Times New Roman" w:hAnsi="Times New Roman" w:cs="Times New Roman"/>
          <w:sz w:val="18"/>
          <w:szCs w:val="18"/>
        </w:rPr>
      </w:pPr>
    </w:p>
    <w:p w:rsidR="00997C4C" w:rsidRPr="00997C4C" w:rsidRDefault="00997C4C" w:rsidP="00997C4C">
      <w:pPr>
        <w:tabs>
          <w:tab w:val="left" w:pos="5103"/>
        </w:tabs>
        <w:ind w:left="5245"/>
        <w:jc w:val="left"/>
        <w:rPr>
          <w:rFonts w:ascii="Times New Roman" w:hAnsi="Times New Roman" w:cs="Times New Roman"/>
          <w:sz w:val="28"/>
          <w:szCs w:val="28"/>
        </w:rPr>
      </w:pPr>
      <w:r w:rsidRPr="00997C4C">
        <w:rPr>
          <w:rFonts w:ascii="Times New Roman" w:hAnsi="Times New Roman" w:cs="Times New Roman"/>
          <w:sz w:val="28"/>
          <w:szCs w:val="28"/>
        </w:rPr>
        <w:t>Выполнил (а) студент 1 курса ___ группы</w:t>
      </w:r>
    </w:p>
    <w:p w:rsidR="00997C4C" w:rsidRPr="00997C4C" w:rsidRDefault="00997C4C" w:rsidP="00997C4C">
      <w:pPr>
        <w:tabs>
          <w:tab w:val="left" w:pos="5103"/>
        </w:tabs>
        <w:ind w:left="5245"/>
        <w:jc w:val="left"/>
        <w:rPr>
          <w:rFonts w:ascii="Times New Roman" w:hAnsi="Times New Roman" w:cs="Times New Roman"/>
          <w:sz w:val="28"/>
          <w:szCs w:val="28"/>
        </w:rPr>
      </w:pPr>
      <w:r w:rsidRPr="00997C4C">
        <w:rPr>
          <w:rFonts w:ascii="Times New Roman" w:hAnsi="Times New Roman" w:cs="Times New Roman"/>
          <w:sz w:val="28"/>
          <w:szCs w:val="28"/>
        </w:rPr>
        <w:t>направления подготовки (специальности)_______________</w:t>
      </w:r>
    </w:p>
    <w:p w:rsidR="00997C4C" w:rsidRPr="00997C4C" w:rsidRDefault="00997C4C" w:rsidP="00997C4C">
      <w:pPr>
        <w:tabs>
          <w:tab w:val="left" w:pos="5103"/>
        </w:tabs>
        <w:ind w:left="5245"/>
        <w:jc w:val="left"/>
        <w:rPr>
          <w:rFonts w:ascii="Times New Roman" w:hAnsi="Times New Roman" w:cs="Times New Roman"/>
          <w:sz w:val="18"/>
          <w:szCs w:val="18"/>
        </w:rPr>
      </w:pPr>
      <w:r w:rsidRPr="00997C4C">
        <w:rPr>
          <w:rFonts w:ascii="Times New Roman" w:hAnsi="Times New Roman" w:cs="Times New Roman"/>
          <w:sz w:val="18"/>
          <w:szCs w:val="18"/>
        </w:rPr>
        <w:t>(код специальности, наименование специальности)</w:t>
      </w:r>
    </w:p>
    <w:p w:rsidR="00997C4C" w:rsidRPr="00997C4C" w:rsidRDefault="00997C4C" w:rsidP="00997C4C">
      <w:pPr>
        <w:tabs>
          <w:tab w:val="left" w:pos="5103"/>
        </w:tabs>
        <w:ind w:left="5245"/>
        <w:jc w:val="left"/>
        <w:rPr>
          <w:rFonts w:ascii="Times New Roman" w:hAnsi="Times New Roman" w:cs="Times New Roman"/>
          <w:sz w:val="28"/>
          <w:szCs w:val="28"/>
        </w:rPr>
      </w:pPr>
      <w:r w:rsidRPr="00997C4C">
        <w:rPr>
          <w:rFonts w:ascii="Times New Roman" w:hAnsi="Times New Roman" w:cs="Times New Roman"/>
          <w:sz w:val="28"/>
          <w:szCs w:val="28"/>
        </w:rPr>
        <w:t>__________________</w:t>
      </w:r>
      <w:r>
        <w:rPr>
          <w:rFonts w:ascii="Times New Roman" w:hAnsi="Times New Roman" w:cs="Times New Roman"/>
          <w:sz w:val="28"/>
          <w:szCs w:val="28"/>
        </w:rPr>
        <w:t>___________</w:t>
      </w:r>
    </w:p>
    <w:p w:rsidR="00997C4C" w:rsidRDefault="00997C4C" w:rsidP="00997C4C">
      <w:pPr>
        <w:tabs>
          <w:tab w:val="left" w:pos="5103"/>
        </w:tabs>
        <w:ind w:left="5245"/>
        <w:jc w:val="left"/>
        <w:rPr>
          <w:rFonts w:ascii="Times New Roman" w:hAnsi="Times New Roman" w:cs="Times New Roman"/>
          <w:sz w:val="18"/>
          <w:szCs w:val="18"/>
        </w:rPr>
      </w:pPr>
      <w:r w:rsidRPr="00997C4C">
        <w:rPr>
          <w:rFonts w:ascii="Times New Roman" w:hAnsi="Times New Roman" w:cs="Times New Roman"/>
          <w:sz w:val="18"/>
          <w:szCs w:val="18"/>
        </w:rPr>
        <w:t>(ФИО обучающегося)</w:t>
      </w: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18"/>
          <w:szCs w:val="18"/>
        </w:rPr>
      </w:pPr>
    </w:p>
    <w:p w:rsidR="00997C4C" w:rsidRPr="00997C4C" w:rsidRDefault="00997C4C" w:rsidP="00997C4C">
      <w:pPr>
        <w:rPr>
          <w:rFonts w:ascii="Times New Roman" w:hAnsi="Times New Roman" w:cs="Times New Roman"/>
          <w:sz w:val="28"/>
          <w:szCs w:val="28"/>
        </w:rPr>
      </w:pPr>
    </w:p>
    <w:p w:rsidR="00997C4C" w:rsidRDefault="00997C4C" w:rsidP="00997C4C">
      <w:pPr>
        <w:tabs>
          <w:tab w:val="left" w:pos="3390"/>
        </w:tabs>
        <w:jc w:val="center"/>
        <w:rPr>
          <w:rFonts w:ascii="Times New Roman" w:hAnsi="Times New Roman" w:cs="Times New Roman"/>
          <w:sz w:val="28"/>
          <w:szCs w:val="28"/>
        </w:rPr>
      </w:pPr>
      <w:r w:rsidRPr="00997C4C">
        <w:rPr>
          <w:rFonts w:ascii="Times New Roman" w:hAnsi="Times New Roman" w:cs="Times New Roman"/>
          <w:sz w:val="28"/>
          <w:szCs w:val="28"/>
        </w:rPr>
        <w:t>Саратов – 2020 г.</w:t>
      </w:r>
    </w:p>
    <w:p w:rsidR="00997C4C" w:rsidRPr="00FD5F33" w:rsidRDefault="00997C4C" w:rsidP="00997C4C">
      <w:pPr>
        <w:tabs>
          <w:tab w:val="left" w:pos="3390"/>
        </w:tabs>
        <w:jc w:val="left"/>
        <w:rPr>
          <w:rFonts w:ascii="Times New Roman" w:hAnsi="Times New Roman" w:cs="Times New Roman"/>
          <w:i/>
          <w:sz w:val="28"/>
          <w:szCs w:val="28"/>
        </w:rPr>
      </w:pPr>
      <w:r w:rsidRPr="00FD5F33">
        <w:rPr>
          <w:rFonts w:ascii="Times New Roman" w:hAnsi="Times New Roman" w:cs="Times New Roman"/>
          <w:b/>
          <w:i/>
          <w:sz w:val="28"/>
          <w:szCs w:val="28"/>
        </w:rPr>
        <w:lastRenderedPageBreak/>
        <w:t>Образец оформления ссылок</w:t>
      </w:r>
      <w:r w:rsidRPr="00FD5F33">
        <w:rPr>
          <w:rFonts w:ascii="Times New Roman" w:hAnsi="Times New Roman" w:cs="Times New Roman"/>
          <w:i/>
          <w:sz w:val="28"/>
          <w:szCs w:val="28"/>
        </w:rPr>
        <w:t xml:space="preserve"> </w:t>
      </w:r>
    </w:p>
    <w:p w:rsidR="00997C4C" w:rsidRDefault="00997C4C" w:rsidP="00997C4C">
      <w:pPr>
        <w:tabs>
          <w:tab w:val="left" w:pos="3390"/>
        </w:tabs>
        <w:jc w:val="left"/>
        <w:rPr>
          <w:rFonts w:ascii="Times New Roman" w:hAnsi="Times New Roman" w:cs="Times New Roman"/>
          <w:sz w:val="28"/>
          <w:szCs w:val="28"/>
        </w:rPr>
      </w:pPr>
    </w:p>
    <w:p w:rsidR="00FD5F33" w:rsidRP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Если текст цитируется не по первоисточнику, а по другому изданию или иному документу, то сноску следует начинать словами: Цит. по: Россинская Е.Р., Галяшина Е.И., Зинин А.М. Теория судебной экспертизы. М., 2009. С. 142.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Цит. по: Афанасьев С.Ф. Гражданский процессуальный аспект реализации репродуктивных прав и обязанностей // Вестник гражданского процесса. 2013. № 6. С. 66 - 82. 2.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Если в тексте содержится ссылка на мнение какого-либо автора без дословного цитирования (без кавычек), то в сноске ставится «См.:»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В тексте: С.Ф. Афанасьев обращает внимание на то, что…1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В сноске: 1 См.: Афанасьев С.Ф. Гражданский процессуальный аспект реализации репродуктивных прав и обязанностей // Вестник гражданского процесса. 2013. № 6. С. 66-82. 3.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При ссылке на законодательной акт в сноске необходимо указать его полное официальное наименование и официальный источник, в котором он опубликован: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1 См.: Конституция Российской Федерации (принята всенародным голосованием 12 декабря 1993 г.) // Российская газета. 1993. 25 дек.; Собрание законодательства РФ. 2014. № 31. Ст. 4398.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Если в законодательный акт вносились изменения, следует указать информацию о первоначальной и актуальной редакции закона (полное официальное наименование, официальные источники опубликования первоначальной редакции и последних изменений):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t>1</w:t>
      </w:r>
      <w:r w:rsidR="00997C4C" w:rsidRPr="00FD5F33">
        <w:rPr>
          <w:rFonts w:ascii="Times New Roman" w:hAnsi="Times New Roman" w:cs="Times New Roman"/>
          <w:sz w:val="28"/>
          <w:szCs w:val="28"/>
        </w:rPr>
        <w:t xml:space="preserve">. 1 См.: Федеральный закон от 31 мая 2002 № 63 - ФЗ (ред. от 29.07.2017) «Об адвокатской деятельности и адвокатуре в Российской Федерации» // Собрание законодательства РФ. 2002. № 23. Ст. 2102.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4. Объектами составления библиографической ссылки также являются электронные ресурсы локального и удаленного доступа. Ссылки составляют как на электронные ресурсы в целом (электронные документы, базы данных, </w:t>
      </w:r>
      <w:r w:rsidR="00997C4C" w:rsidRPr="00FD5F33">
        <w:rPr>
          <w:rFonts w:ascii="Times New Roman" w:hAnsi="Times New Roman" w:cs="Times New Roman"/>
          <w:sz w:val="28"/>
          <w:szCs w:val="28"/>
        </w:rPr>
        <w:lastRenderedPageBreak/>
        <w:t xml:space="preserve">порталы, сайты, веб-страницы, форумы и т.д.), так и на их составные части (разделы и части электронных документов, порталов, сайтов, веб-страниц, публикации в электронных сериальных изданиях, сообщения на форумах и т.п.).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При оформлении ссылки на материалы, извлеченные из сети «Интернет», необходимо придерживать требованиям, предъявляемым к оформлению 24 библиографического списка печатных работ, обязательно указывать полный адрес материала в Интернете, включая название сайта и дату рецепции материала: </w:t>
      </w:r>
    </w:p>
    <w:p w:rsidR="00FD5F33" w:rsidRP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1Астахов привел данные по незаконному усыновлению российских детей американцами // ООО Деловая газета «Взгляд». URL: http://vz.ru/news/2015/2/10/728789.html (дата обращения: 10.03.2019). </w:t>
      </w:r>
    </w:p>
    <w:p w:rsidR="00FD5F33" w:rsidRPr="00FD5F33" w:rsidRDefault="00FD5F33"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ab/>
      </w:r>
      <w:r w:rsidR="00997C4C" w:rsidRPr="00FD5F33">
        <w:rPr>
          <w:rFonts w:ascii="Times New Roman" w:hAnsi="Times New Roman" w:cs="Times New Roman"/>
          <w:sz w:val="28"/>
          <w:szCs w:val="28"/>
        </w:rPr>
        <w:t xml:space="preserve">2 Определение Судебной коллегии по гражданским делам Верховного Суда Российской Федерации от 25 марта 2019 г. № 5-КГ18-305. Доступ из Справ. правовой системы «Гарант-Максимум». </w:t>
      </w:r>
    </w:p>
    <w:p w:rsidR="00FD5F33" w:rsidRDefault="00FD5F33"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ab/>
      </w:r>
      <w:r w:rsidR="00997C4C" w:rsidRPr="00FD5F33">
        <w:rPr>
          <w:rFonts w:ascii="Times New Roman" w:hAnsi="Times New Roman" w:cs="Times New Roman"/>
          <w:sz w:val="28"/>
          <w:szCs w:val="28"/>
        </w:rPr>
        <w:t xml:space="preserve">3 См.: Жилищное право: актуальные вопросы законодательства: электронный журнал. 2007. № 1. URL: http://www.gilpravo.ru (дата обращения: 14.05.2019). </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5. Для разграничения элементов описания применяют следующую систему условных разделительных знаков: косая черта (/) – перед сведениями об авторе (ах), ответственных, главных редакторах; две косые черты (//) – перед сведениями об издании, в котором помещена часть документа; двоеточие (:) – перед названием издательства; перед видом издания по характеру информации. Знак // (две косые черты) желательно ставить с отбивкой на 1 пункт с обеих сторон. Знаки / и // заменяют все прочие знаки и перед ними и после них не сохраняются никакие другие знаки препинания, кроме то</w:t>
      </w:r>
      <w:r>
        <w:rPr>
          <w:rFonts w:ascii="Times New Roman" w:hAnsi="Times New Roman" w:cs="Times New Roman"/>
          <w:sz w:val="28"/>
          <w:szCs w:val="28"/>
        </w:rPr>
        <w:t>чки как знака сокращения слова.</w:t>
      </w:r>
      <w:r w:rsidR="00997C4C" w:rsidRPr="00FD5F33">
        <w:rPr>
          <w:rFonts w:ascii="Times New Roman" w:hAnsi="Times New Roman" w:cs="Times New Roman"/>
          <w:sz w:val="28"/>
          <w:szCs w:val="28"/>
        </w:rPr>
        <w:t xml:space="preserve"> </w:t>
      </w:r>
    </w:p>
    <w:p w:rsidR="00FD5F33" w:rsidRDefault="00FD5F33" w:rsidP="00FD5F33">
      <w:pPr>
        <w:tabs>
          <w:tab w:val="left" w:pos="0"/>
        </w:tabs>
        <w:spacing w:line="360" w:lineRule="auto"/>
        <w:rPr>
          <w:rFonts w:ascii="Times New Roman" w:hAnsi="Times New Roman" w:cs="Times New Roman"/>
          <w:sz w:val="28"/>
          <w:szCs w:val="28"/>
        </w:rPr>
      </w:pPr>
    </w:p>
    <w:p w:rsidR="00FD5F33" w:rsidRDefault="00FD5F33" w:rsidP="00FD5F33">
      <w:pPr>
        <w:tabs>
          <w:tab w:val="left" w:pos="0"/>
        </w:tabs>
        <w:spacing w:line="360" w:lineRule="auto"/>
        <w:rPr>
          <w:rFonts w:ascii="Times New Roman" w:hAnsi="Times New Roman" w:cs="Times New Roman"/>
          <w:sz w:val="28"/>
          <w:szCs w:val="28"/>
        </w:rPr>
      </w:pPr>
    </w:p>
    <w:p w:rsidR="00FD5F33" w:rsidRDefault="00FD5F33" w:rsidP="00FD5F33">
      <w:pPr>
        <w:tabs>
          <w:tab w:val="left" w:pos="0"/>
        </w:tabs>
        <w:spacing w:line="360" w:lineRule="auto"/>
        <w:rPr>
          <w:rFonts w:ascii="Times New Roman" w:hAnsi="Times New Roman" w:cs="Times New Roman"/>
          <w:b/>
          <w:sz w:val="28"/>
          <w:szCs w:val="28"/>
        </w:rPr>
      </w:pPr>
    </w:p>
    <w:p w:rsidR="00FD5F33" w:rsidRPr="00FD5F33" w:rsidRDefault="00997C4C" w:rsidP="00FD5F33">
      <w:pPr>
        <w:tabs>
          <w:tab w:val="left" w:pos="0"/>
        </w:tabs>
        <w:spacing w:line="360" w:lineRule="auto"/>
        <w:rPr>
          <w:rFonts w:ascii="Times New Roman" w:hAnsi="Times New Roman" w:cs="Times New Roman"/>
          <w:i/>
          <w:sz w:val="28"/>
          <w:szCs w:val="28"/>
        </w:rPr>
      </w:pPr>
      <w:r w:rsidRPr="00FD5F33">
        <w:rPr>
          <w:rFonts w:ascii="Times New Roman" w:hAnsi="Times New Roman" w:cs="Times New Roman"/>
          <w:b/>
          <w:i/>
          <w:sz w:val="28"/>
          <w:szCs w:val="28"/>
        </w:rPr>
        <w:lastRenderedPageBreak/>
        <w:t>Образец оформления списка литературы</w:t>
      </w:r>
      <w:r w:rsidRPr="00FD5F33">
        <w:rPr>
          <w:rFonts w:ascii="Times New Roman" w:hAnsi="Times New Roman" w:cs="Times New Roman"/>
          <w:i/>
          <w:sz w:val="28"/>
          <w:szCs w:val="28"/>
        </w:rPr>
        <w:t xml:space="preserve"> </w:t>
      </w:r>
    </w:p>
    <w:p w:rsidR="00FD5F33" w:rsidRPr="00FD5F33" w:rsidRDefault="00997C4C" w:rsidP="00FD5F33">
      <w:pPr>
        <w:tabs>
          <w:tab w:val="left" w:pos="0"/>
        </w:tabs>
        <w:spacing w:line="360" w:lineRule="auto"/>
        <w:jc w:val="center"/>
        <w:rPr>
          <w:rFonts w:ascii="Times New Roman" w:hAnsi="Times New Roman" w:cs="Times New Roman"/>
          <w:b/>
          <w:sz w:val="28"/>
          <w:szCs w:val="28"/>
        </w:rPr>
      </w:pPr>
      <w:r w:rsidRPr="00FD5F33">
        <w:rPr>
          <w:rFonts w:ascii="Times New Roman" w:hAnsi="Times New Roman" w:cs="Times New Roman"/>
          <w:b/>
          <w:sz w:val="28"/>
          <w:szCs w:val="28"/>
        </w:rPr>
        <w:t>Список использованной литературы и источников</w:t>
      </w:r>
    </w:p>
    <w:p w:rsidR="00FD5F33" w:rsidRPr="00FD5F33" w:rsidRDefault="00997C4C" w:rsidP="00FD5F33">
      <w:pPr>
        <w:tabs>
          <w:tab w:val="left" w:pos="0"/>
        </w:tabs>
        <w:spacing w:line="360" w:lineRule="auto"/>
        <w:jc w:val="center"/>
        <w:rPr>
          <w:rFonts w:ascii="Times New Roman" w:hAnsi="Times New Roman" w:cs="Times New Roman"/>
          <w:b/>
          <w:sz w:val="28"/>
          <w:szCs w:val="28"/>
        </w:rPr>
      </w:pPr>
      <w:r w:rsidRPr="00FD5F33">
        <w:rPr>
          <w:rFonts w:ascii="Times New Roman" w:hAnsi="Times New Roman" w:cs="Times New Roman"/>
          <w:b/>
          <w:sz w:val="28"/>
          <w:szCs w:val="28"/>
        </w:rPr>
        <w:t>Библиографический список использованной литературы</w:t>
      </w:r>
    </w:p>
    <w:p w:rsidR="00FD5F33" w:rsidRPr="00FD5F33" w:rsidRDefault="00997C4C" w:rsidP="00FD5F33">
      <w:pPr>
        <w:tabs>
          <w:tab w:val="left" w:pos="0"/>
        </w:tabs>
        <w:spacing w:line="360" w:lineRule="auto"/>
        <w:jc w:val="center"/>
        <w:rPr>
          <w:rFonts w:ascii="Times New Roman" w:hAnsi="Times New Roman" w:cs="Times New Roman"/>
          <w:b/>
          <w:sz w:val="28"/>
          <w:szCs w:val="28"/>
        </w:rPr>
      </w:pPr>
      <w:r w:rsidRPr="00FD5F33">
        <w:rPr>
          <w:rFonts w:ascii="Times New Roman" w:hAnsi="Times New Roman" w:cs="Times New Roman"/>
          <w:b/>
          <w:sz w:val="28"/>
          <w:szCs w:val="28"/>
        </w:rPr>
        <w:t>Нормативно - правовые акты</w:t>
      </w:r>
    </w:p>
    <w:p w:rsidR="00FD5F33" w:rsidRDefault="00FD5F33" w:rsidP="00FD5F33">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ab/>
      </w:r>
      <w:r w:rsidR="00997C4C" w:rsidRPr="00FD5F33">
        <w:rPr>
          <w:rFonts w:ascii="Times New Roman" w:hAnsi="Times New Roman" w:cs="Times New Roman"/>
          <w:sz w:val="28"/>
          <w:szCs w:val="28"/>
        </w:rPr>
        <w:t xml:space="preserve">Порядок расположения в списке – в зависимости от их юридической силы; нормативные акты, обладающие равной юридической силой, располагаются в соответствии с календарной очередностью их принятия.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1. Конституция Российской Федерации (принята всенародным голосованием 12 декабря 1993 г.) (с учетом поправок, внесенных Федеральным конституционным законом «О поправках к Конституции РФ» от 30 декабря 2008 г. № 6-ФКЗ, от 30 декабря 2008 г. №7-ФКЗ, от 5 февраля 2014 г. №2-ФКЗ, от 21 июля 2014 г. №11-ФКЗ) // Российская газета. 1993. 25 дек.; Собрание законодательства РФ. – 2014. – №31. – Ст. 4398.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2. Конвенция о правах ребенка (принята Генеральной Ассамблеей ООН 20 ноября 1989 г.) // Ведомости Съезда народных депутатов СССР и Верховного Совета СССР. 1990. № 45. Ст. 955.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3. Гражданский процессуальный кодекс Российской Федерации от 14 ноября 2002 г. № 138-ФЗ (ред. от 03.08.2018) // Собрание законодательства РФ. – 2002. – № 46. – Ст. 4532.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4. Федеральный закон от 31 мая 2002 № 63 - ФЗ (ред. от 29.07.2017) «Об адвокатской деятельности и адвокатуре в Российской Федерации» // Собрание законодательства РФ. – 2002. № 23. – Ст. 2102.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5. Указ Президента РФ от 13 мая 2017 № 208 «О Стратегии экономической безопасности Российской Федерации на период до 2030 года» // Собрание законодательства РФ. – 2017. – № 20. – Ст. 2902.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6. Постановление Совета Федерации Федерального Собрания РФ от 30 января 2002 г. № 33 - СФ «О Регламенте Совета Федерации Федерального Собрания Российской Федерации» (ред. от 17.01.2018) // Собрание законодательства РФ. – 2002. – № 7. – Ст. 635.26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lastRenderedPageBreak/>
        <w:t xml:space="preserve">7. Приказ Минздравсоцразвития России от 23 декабря 2009 г. № 1012н «Об утверждении Порядка и условий назначения и выплаты государственных пособий гражданам, имеющим детей» (в ред. от 24 сентября 2018 г.) // Российская газета. 2010. 27 янв.; Официальный интернет-портал правовой информации http://www.pravo.gov.ru, дата обращения: 10.07.2019. </w:t>
      </w:r>
    </w:p>
    <w:p w:rsidR="00FD5F33" w:rsidRDefault="00997C4C" w:rsidP="00FD5F33">
      <w:pPr>
        <w:tabs>
          <w:tab w:val="left" w:pos="0"/>
        </w:tabs>
        <w:spacing w:line="360" w:lineRule="auto"/>
        <w:jc w:val="center"/>
        <w:rPr>
          <w:rFonts w:ascii="Times New Roman" w:hAnsi="Times New Roman" w:cs="Times New Roman"/>
          <w:b/>
          <w:sz w:val="28"/>
          <w:szCs w:val="28"/>
        </w:rPr>
      </w:pPr>
      <w:r w:rsidRPr="00FD5F33">
        <w:rPr>
          <w:rFonts w:ascii="Times New Roman" w:hAnsi="Times New Roman" w:cs="Times New Roman"/>
          <w:b/>
          <w:sz w:val="28"/>
          <w:szCs w:val="28"/>
        </w:rPr>
        <w:t xml:space="preserve">Материалы правоприменительной практики </w:t>
      </w:r>
    </w:p>
    <w:p w:rsidR="00FD5F33" w:rsidRPr="00FD5F33" w:rsidRDefault="00997C4C" w:rsidP="00FD5F33">
      <w:pPr>
        <w:tabs>
          <w:tab w:val="left" w:pos="0"/>
        </w:tabs>
        <w:spacing w:line="360" w:lineRule="auto"/>
        <w:jc w:val="center"/>
        <w:rPr>
          <w:rFonts w:ascii="Times New Roman" w:hAnsi="Times New Roman" w:cs="Times New Roman"/>
          <w:b/>
          <w:sz w:val="28"/>
          <w:szCs w:val="28"/>
        </w:rPr>
      </w:pPr>
      <w:r w:rsidRPr="00FD5F33">
        <w:rPr>
          <w:rFonts w:ascii="Times New Roman" w:hAnsi="Times New Roman" w:cs="Times New Roman"/>
          <w:b/>
          <w:sz w:val="28"/>
          <w:szCs w:val="28"/>
        </w:rPr>
        <w:t>Указываются также архивные материалы</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8. Постановление Пленума Верховного Суда РФ от 19 декабря 2003 г. № 23 «О судебном решении» // Российская газета. 2003. 26 дек.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9. Определение Судебной коллегии по гражданским делам Верховного Суда РФ от 22 июня 2001 г. № 65-ГО1-02. Доступ из Справ. правовой системы «Гарант- Максимум».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10. Постановление президиума Тюменского областного суда от 15 ноября 2002 г. «Решение суда об отказе в изменении даты рождения усыновленного ребенка отменено как противоречащее Конституции Российской Федерации» (извлечение) // Бюллетень Верховного Суда Российской Федерации. 2003. № 4.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11. Определение № 2-8401/2015 2-877/2016 2-877/2016(2-8401/2015;)~М-7827/2015 М-7827/2015 от 19 января 2016 г. по делу № 2-8401/2015. Практика Пресненского районного суда г. Москвы // URL: https://sudact.ru/regular/court/reshenya-presnenskii</w:t>
      </w:r>
      <w:r w:rsidRPr="00FD5F33">
        <w:rPr>
          <w:rFonts w:ascii="Calibri" w:hAnsi="Calibri" w:cs="Calibri"/>
          <w:sz w:val="28"/>
          <w:szCs w:val="28"/>
        </w:rPr>
        <w:t/>
      </w:r>
      <w:r w:rsidRPr="00FD5F33">
        <w:rPr>
          <w:rFonts w:ascii="Times New Roman" w:hAnsi="Times New Roman" w:cs="Times New Roman"/>
          <w:sz w:val="28"/>
          <w:szCs w:val="28"/>
        </w:rPr>
        <w:t xml:space="preserve">raionnyi-sud-gorod-moskva/ (дата обращения: 15.07.2019). </w:t>
      </w:r>
    </w:p>
    <w:p w:rsidR="00FD5F33" w:rsidRPr="00FD5F33" w:rsidRDefault="00997C4C" w:rsidP="00FD5F33">
      <w:pPr>
        <w:tabs>
          <w:tab w:val="left" w:pos="0"/>
        </w:tabs>
        <w:spacing w:line="360" w:lineRule="auto"/>
        <w:jc w:val="center"/>
        <w:rPr>
          <w:rFonts w:ascii="Times New Roman" w:hAnsi="Times New Roman" w:cs="Times New Roman"/>
          <w:b/>
          <w:sz w:val="28"/>
          <w:szCs w:val="28"/>
        </w:rPr>
      </w:pPr>
      <w:r w:rsidRPr="00FD5F33">
        <w:rPr>
          <w:rFonts w:ascii="Times New Roman" w:hAnsi="Times New Roman" w:cs="Times New Roman"/>
          <w:b/>
          <w:sz w:val="28"/>
          <w:szCs w:val="28"/>
        </w:rPr>
        <w:t>Научная литература</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12. </w:t>
      </w:r>
      <w:r w:rsidRPr="00FD5F33">
        <w:rPr>
          <w:rFonts w:ascii="Times New Roman" w:hAnsi="Times New Roman" w:cs="Times New Roman"/>
          <w:i/>
          <w:sz w:val="28"/>
          <w:szCs w:val="28"/>
        </w:rPr>
        <w:t>Абушенко Д.Б.</w:t>
      </w:r>
      <w:r w:rsidRPr="00FD5F33">
        <w:rPr>
          <w:rFonts w:ascii="Times New Roman" w:hAnsi="Times New Roman" w:cs="Times New Roman"/>
          <w:sz w:val="28"/>
          <w:szCs w:val="28"/>
        </w:rPr>
        <w:t xml:space="preserve"> Проблемы взаимовлияния судебных актов и юридических фактов материального права в цивилистическом процессе. Тверь: Издатель Кондратьев А.Н., 2013. 319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13. </w:t>
      </w:r>
      <w:r w:rsidRPr="00FD5F33">
        <w:rPr>
          <w:rFonts w:ascii="Times New Roman" w:hAnsi="Times New Roman" w:cs="Times New Roman"/>
          <w:i/>
          <w:sz w:val="28"/>
          <w:szCs w:val="28"/>
        </w:rPr>
        <w:t>Бошко В.И.</w:t>
      </w:r>
      <w:r w:rsidRPr="00FD5F33">
        <w:rPr>
          <w:rFonts w:ascii="Times New Roman" w:hAnsi="Times New Roman" w:cs="Times New Roman"/>
          <w:sz w:val="28"/>
          <w:szCs w:val="28"/>
        </w:rPr>
        <w:t xml:space="preserve"> Очерки семейного права. Киев: Госполитиздат УССР, 1952 . 371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14. </w:t>
      </w:r>
      <w:r w:rsidRPr="00FD5F33">
        <w:rPr>
          <w:rFonts w:ascii="Times New Roman" w:hAnsi="Times New Roman" w:cs="Times New Roman"/>
          <w:i/>
          <w:sz w:val="28"/>
          <w:szCs w:val="28"/>
        </w:rPr>
        <w:t>Алексеев С.С.</w:t>
      </w:r>
      <w:r w:rsidRPr="00FD5F33">
        <w:rPr>
          <w:rFonts w:ascii="Times New Roman" w:hAnsi="Times New Roman" w:cs="Times New Roman"/>
          <w:sz w:val="28"/>
          <w:szCs w:val="28"/>
        </w:rPr>
        <w:t xml:space="preserve"> Общие теоретические проблемы системы советского права. –</w:t>
      </w:r>
      <w:r w:rsidR="00FD5F33">
        <w:rPr>
          <w:rFonts w:ascii="Times New Roman" w:hAnsi="Times New Roman" w:cs="Times New Roman"/>
          <w:sz w:val="28"/>
          <w:szCs w:val="28"/>
        </w:rPr>
        <w:t xml:space="preserve"> М.: Госюриздат, 1961. 187 с.</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lastRenderedPageBreak/>
        <w:t xml:space="preserve">15. </w:t>
      </w:r>
      <w:r w:rsidRPr="00FD5F33">
        <w:rPr>
          <w:rFonts w:ascii="Times New Roman" w:hAnsi="Times New Roman" w:cs="Times New Roman"/>
          <w:i/>
          <w:sz w:val="28"/>
          <w:szCs w:val="28"/>
        </w:rPr>
        <w:t>Григорьева Т.А., Ткаченко Е.В</w:t>
      </w:r>
      <w:r w:rsidRPr="00FD5F33">
        <w:rPr>
          <w:rFonts w:ascii="Times New Roman" w:hAnsi="Times New Roman" w:cs="Times New Roman"/>
          <w:sz w:val="28"/>
          <w:szCs w:val="28"/>
        </w:rPr>
        <w:t xml:space="preserve">. Письменные доказательства в арбитражном процессе по делам, возникающим из публичных правоотношений. Саратов: ФГБОУ ВО «Саратовская государственная юридическая академия», 2018. 212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16. </w:t>
      </w:r>
      <w:r w:rsidRPr="00FD5F33">
        <w:rPr>
          <w:rFonts w:ascii="Times New Roman" w:hAnsi="Times New Roman" w:cs="Times New Roman"/>
          <w:i/>
          <w:sz w:val="28"/>
          <w:szCs w:val="28"/>
        </w:rPr>
        <w:t>Ильина О.Ю.</w:t>
      </w:r>
      <w:r w:rsidRPr="00FD5F33">
        <w:rPr>
          <w:rFonts w:ascii="Times New Roman" w:hAnsi="Times New Roman" w:cs="Times New Roman"/>
          <w:sz w:val="28"/>
          <w:szCs w:val="28"/>
        </w:rPr>
        <w:t xml:space="preserve"> Интересы ребенка в семейном праве Российской Федерации. М.: Городец, 2006. 192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17. </w:t>
      </w:r>
      <w:r w:rsidRPr="00FD5F33">
        <w:rPr>
          <w:rFonts w:ascii="Times New Roman" w:hAnsi="Times New Roman" w:cs="Times New Roman"/>
          <w:i/>
          <w:sz w:val="28"/>
          <w:szCs w:val="28"/>
        </w:rPr>
        <w:t>Нечаева А.М.</w:t>
      </w:r>
      <w:r w:rsidRPr="00FD5F33">
        <w:rPr>
          <w:rFonts w:ascii="Times New Roman" w:hAnsi="Times New Roman" w:cs="Times New Roman"/>
          <w:sz w:val="28"/>
          <w:szCs w:val="28"/>
        </w:rPr>
        <w:t xml:space="preserve"> Семейное право: актуальные проблемы теории и практики. М.: Юрайт-Издат, 2007. 280 с. Учебная и учебно-методическая литература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18. </w:t>
      </w:r>
      <w:r w:rsidRPr="00FD5F33">
        <w:rPr>
          <w:rFonts w:ascii="Times New Roman" w:hAnsi="Times New Roman" w:cs="Times New Roman"/>
          <w:i/>
          <w:sz w:val="28"/>
          <w:szCs w:val="28"/>
        </w:rPr>
        <w:t xml:space="preserve">Айтов П.Б., Белялова А.М., Богданов Е.В. </w:t>
      </w:r>
      <w:r w:rsidRPr="00FD5F33">
        <w:rPr>
          <w:rFonts w:ascii="Times New Roman" w:hAnsi="Times New Roman" w:cs="Times New Roman"/>
          <w:sz w:val="28"/>
          <w:szCs w:val="28"/>
        </w:rPr>
        <w:t xml:space="preserve">и др. Семейное право: учебник /под ред. Р.А. Курбанова. М.: Проспект, 2015. 231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19</w:t>
      </w:r>
      <w:r w:rsidR="00FD5F33">
        <w:rPr>
          <w:rFonts w:ascii="Times New Roman" w:hAnsi="Times New Roman" w:cs="Times New Roman"/>
          <w:sz w:val="28"/>
          <w:szCs w:val="28"/>
        </w:rPr>
        <w:t>.</w:t>
      </w:r>
      <w:r w:rsidR="00FD5F33" w:rsidRPr="00FD5F33">
        <w:rPr>
          <w:rFonts w:ascii="Times New Roman" w:hAnsi="Times New Roman" w:cs="Times New Roman"/>
          <w:sz w:val="28"/>
          <w:szCs w:val="28"/>
        </w:rPr>
        <w:t xml:space="preserve"> </w:t>
      </w:r>
      <w:r w:rsidR="00FD5F33" w:rsidRPr="00FD5F33">
        <w:rPr>
          <w:rFonts w:ascii="Times New Roman" w:hAnsi="Times New Roman" w:cs="Times New Roman"/>
          <w:i/>
          <w:sz w:val="28"/>
          <w:szCs w:val="28"/>
        </w:rPr>
        <w:t>Алиев Т.Т., Афанасьев С.Ф., Балашов А.Н.</w:t>
      </w:r>
      <w:r w:rsidR="00FD5F33" w:rsidRPr="00FD5F33">
        <w:rPr>
          <w:rFonts w:ascii="Times New Roman" w:hAnsi="Times New Roman" w:cs="Times New Roman"/>
          <w:sz w:val="28"/>
          <w:szCs w:val="28"/>
        </w:rPr>
        <w:t xml:space="preserve"> и др. Комментарий к Гражданскому процессуальному кодексу Российской</w:t>
      </w:r>
      <w:r w:rsidRPr="00FD5F33">
        <w:rPr>
          <w:rFonts w:ascii="Times New Roman" w:hAnsi="Times New Roman" w:cs="Times New Roman"/>
          <w:sz w:val="28"/>
          <w:szCs w:val="28"/>
        </w:rPr>
        <w:t xml:space="preserve">. Федерации (постатейный) / под ред. М.А. Викут. 2-е изд., перераб. и доп. М.: Юрайт, 2014. Сер. «Профессиональные комментарии». 607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20. Арбитражный процесс: учебник / под ред. В.В. Яркова. 6-е изд., перераб. и доп. М.: Инфотропик Медиа, 2014. 848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21. </w:t>
      </w:r>
      <w:r w:rsidRPr="00FD5F33">
        <w:rPr>
          <w:rFonts w:ascii="Times New Roman" w:hAnsi="Times New Roman" w:cs="Times New Roman"/>
          <w:i/>
          <w:sz w:val="28"/>
          <w:szCs w:val="28"/>
        </w:rPr>
        <w:t>Баев А.А., Утяшов Э.К.</w:t>
      </w:r>
      <w:r w:rsidRPr="00FD5F33">
        <w:rPr>
          <w:rFonts w:ascii="Times New Roman" w:hAnsi="Times New Roman" w:cs="Times New Roman"/>
          <w:sz w:val="28"/>
          <w:szCs w:val="28"/>
        </w:rPr>
        <w:t xml:space="preserve"> Семейное право: учебное пособие. М.: РИОР, 2005. 91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22. </w:t>
      </w:r>
      <w:r w:rsidRPr="00FD5F33">
        <w:rPr>
          <w:rFonts w:ascii="Times New Roman" w:hAnsi="Times New Roman" w:cs="Times New Roman"/>
          <w:i/>
          <w:sz w:val="28"/>
          <w:szCs w:val="28"/>
        </w:rPr>
        <w:t>Барсукова В.Н., Глухова М.Н., Лебедев М.Ю.</w:t>
      </w:r>
      <w:r w:rsidRPr="00FD5F33">
        <w:rPr>
          <w:rFonts w:ascii="Times New Roman" w:hAnsi="Times New Roman" w:cs="Times New Roman"/>
          <w:sz w:val="28"/>
          <w:szCs w:val="28"/>
        </w:rPr>
        <w:t xml:space="preserve"> и др. Гражданский процесс: учебник и практикум для прикладного бакалавриата / под ред. М.Ю. Лебедева. 3-е изд., перераб. и доп. М.: Юрайт, 2018. 394 с.</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 23. </w:t>
      </w:r>
      <w:r w:rsidRPr="00FD5F33">
        <w:rPr>
          <w:rFonts w:ascii="Times New Roman" w:hAnsi="Times New Roman" w:cs="Times New Roman"/>
          <w:i/>
          <w:sz w:val="28"/>
          <w:szCs w:val="28"/>
        </w:rPr>
        <w:t>Белякова А.М., Ворожейкин Е.М.</w:t>
      </w:r>
      <w:r w:rsidRPr="00FD5F33">
        <w:rPr>
          <w:rFonts w:ascii="Times New Roman" w:hAnsi="Times New Roman" w:cs="Times New Roman"/>
          <w:sz w:val="28"/>
          <w:szCs w:val="28"/>
        </w:rPr>
        <w:t xml:space="preserve"> Советское семейное право / под ред. В.П. Грибанова. М.: Юридическая литература, 1974. 304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24. </w:t>
      </w:r>
      <w:r w:rsidRPr="00FD5F33">
        <w:rPr>
          <w:rFonts w:ascii="Times New Roman" w:hAnsi="Times New Roman" w:cs="Times New Roman"/>
          <w:i/>
          <w:sz w:val="28"/>
          <w:szCs w:val="28"/>
        </w:rPr>
        <w:t>Викут М.А., Зайцев И.М.</w:t>
      </w:r>
      <w:r w:rsidRPr="00FD5F33">
        <w:rPr>
          <w:rFonts w:ascii="Times New Roman" w:hAnsi="Times New Roman" w:cs="Times New Roman"/>
          <w:sz w:val="28"/>
          <w:szCs w:val="28"/>
        </w:rPr>
        <w:t xml:space="preserve"> Гражданский процесс: курс лекций. Саратов: Саратовская государственная академия права, 1998. 336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25. Гражданское процессуальное право России в 2 т. / С. Ф. Афанасьев и др. ; под ред. С. Ф. Афанасьева. 2-е изд., перераб. и доп. М.: Юрайт, 2018. Т. 1 : учебник для бакалавриата и магистратуры. 444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lastRenderedPageBreak/>
        <w:t xml:space="preserve">26. </w:t>
      </w:r>
      <w:r w:rsidRPr="00FD5F33">
        <w:rPr>
          <w:rFonts w:ascii="Times New Roman" w:hAnsi="Times New Roman" w:cs="Times New Roman"/>
          <w:i/>
          <w:sz w:val="28"/>
          <w:szCs w:val="28"/>
        </w:rPr>
        <w:t>Дегтярев С.Л. , Жуйков В.М., Закарлюка А.В. и др.</w:t>
      </w:r>
      <w:r w:rsidRPr="00FD5F33">
        <w:rPr>
          <w:rFonts w:ascii="Times New Roman" w:hAnsi="Times New Roman" w:cs="Times New Roman"/>
          <w:sz w:val="28"/>
          <w:szCs w:val="28"/>
        </w:rPr>
        <w:t xml:space="preserve"> Справочник по доказыванию в гражданском судопроизводстве / под ред. И.В. Решетниковой. 5-е изд., доп. и перераб. М.:</w:t>
      </w:r>
      <w:r w:rsidR="00FD5F33">
        <w:rPr>
          <w:rFonts w:ascii="Times New Roman" w:hAnsi="Times New Roman" w:cs="Times New Roman"/>
          <w:sz w:val="28"/>
          <w:szCs w:val="28"/>
        </w:rPr>
        <w:t xml:space="preserve"> Норма, Инфра-М, 2011. 496 с.</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27. </w:t>
      </w:r>
      <w:r w:rsidRPr="00FD5F33">
        <w:rPr>
          <w:rFonts w:ascii="Times New Roman" w:hAnsi="Times New Roman" w:cs="Times New Roman"/>
          <w:i/>
          <w:sz w:val="28"/>
          <w:szCs w:val="28"/>
        </w:rPr>
        <w:t>Зайцева Т.И. , Патрушева Т.В., Перевалова И.В. и др.</w:t>
      </w:r>
      <w:r w:rsidRPr="00FD5F33">
        <w:rPr>
          <w:rFonts w:ascii="Times New Roman" w:hAnsi="Times New Roman" w:cs="Times New Roman"/>
          <w:sz w:val="28"/>
          <w:szCs w:val="28"/>
        </w:rPr>
        <w:t xml:space="preserve"> Настольная книга нотариуса Организация нотариального дела: в 4 т. / под ред. И.Г. Медведева. 3-е изд., перераб. и доп. М.: Статут, 2015. Т. 1: Организация нотариального дела. 414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28. </w:t>
      </w:r>
      <w:r w:rsidRPr="00FD5F33">
        <w:rPr>
          <w:rFonts w:ascii="Times New Roman" w:hAnsi="Times New Roman" w:cs="Times New Roman"/>
          <w:i/>
          <w:sz w:val="28"/>
          <w:szCs w:val="28"/>
        </w:rPr>
        <w:t>Тарасенкова А.Н.</w:t>
      </w:r>
      <w:r w:rsidRPr="00FD5F33">
        <w:rPr>
          <w:rFonts w:ascii="Times New Roman" w:hAnsi="Times New Roman" w:cs="Times New Roman"/>
          <w:sz w:val="28"/>
          <w:szCs w:val="28"/>
        </w:rPr>
        <w:t xml:space="preserve"> Правовые аспекты семейных отношений: ответы на вопросы и комментарии. М.: Библиотечка «Российской газеты», 2014. Выпуск 13. 144 с. </w:t>
      </w:r>
    </w:p>
    <w:p w:rsidR="00FD5F33" w:rsidRPr="00FD5F33" w:rsidRDefault="00997C4C" w:rsidP="00FD5F33">
      <w:pPr>
        <w:tabs>
          <w:tab w:val="left" w:pos="0"/>
        </w:tabs>
        <w:spacing w:line="360" w:lineRule="auto"/>
        <w:jc w:val="center"/>
        <w:rPr>
          <w:rFonts w:ascii="Times New Roman" w:hAnsi="Times New Roman" w:cs="Times New Roman"/>
          <w:b/>
          <w:sz w:val="28"/>
          <w:szCs w:val="28"/>
        </w:rPr>
      </w:pPr>
      <w:r w:rsidRPr="00FD5F33">
        <w:rPr>
          <w:rFonts w:ascii="Times New Roman" w:hAnsi="Times New Roman" w:cs="Times New Roman"/>
          <w:b/>
          <w:sz w:val="28"/>
          <w:szCs w:val="28"/>
        </w:rPr>
        <w:t>Статьи в научных журналах и сборниках</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29. </w:t>
      </w:r>
      <w:r w:rsidRPr="00FD5F33">
        <w:rPr>
          <w:rFonts w:ascii="Times New Roman" w:hAnsi="Times New Roman" w:cs="Times New Roman"/>
          <w:i/>
          <w:sz w:val="28"/>
          <w:szCs w:val="28"/>
        </w:rPr>
        <w:t>Афанасьев С.Ф.</w:t>
      </w:r>
      <w:r w:rsidRPr="00FD5F33">
        <w:rPr>
          <w:rFonts w:ascii="Times New Roman" w:hAnsi="Times New Roman" w:cs="Times New Roman"/>
          <w:sz w:val="28"/>
          <w:szCs w:val="28"/>
        </w:rPr>
        <w:t xml:space="preserve"> Гражданский процессуальный аспект реализации репродуктивных прав и обязанностей // Вестник гражданского процесса. 2013. № 6. С. 66 - 82.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30. </w:t>
      </w:r>
      <w:r w:rsidRPr="00FD5F33">
        <w:rPr>
          <w:rFonts w:ascii="Times New Roman" w:hAnsi="Times New Roman" w:cs="Times New Roman"/>
          <w:i/>
          <w:sz w:val="28"/>
          <w:szCs w:val="28"/>
        </w:rPr>
        <w:t>Афанасьев С.Ф.</w:t>
      </w:r>
      <w:r w:rsidRPr="00FD5F33">
        <w:rPr>
          <w:rFonts w:ascii="Times New Roman" w:hAnsi="Times New Roman" w:cs="Times New Roman"/>
          <w:sz w:val="28"/>
          <w:szCs w:val="28"/>
        </w:rPr>
        <w:t xml:space="preserve"> Гражданская процессуальная сторона дел об исполнении договора о предоставлении услуг суррогатного материнства // Арбитражный и гражданский процесс. 2014. № 7. С. 27 - 31.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31. </w:t>
      </w:r>
      <w:r w:rsidRPr="00FD5F33">
        <w:rPr>
          <w:rFonts w:ascii="Times New Roman" w:hAnsi="Times New Roman" w:cs="Times New Roman"/>
          <w:i/>
          <w:sz w:val="28"/>
          <w:szCs w:val="28"/>
        </w:rPr>
        <w:t>Афанасьев С.Ф., Малько А.В.</w:t>
      </w:r>
      <w:r w:rsidRPr="00FD5F33">
        <w:rPr>
          <w:rFonts w:ascii="Times New Roman" w:hAnsi="Times New Roman" w:cs="Times New Roman"/>
          <w:sz w:val="28"/>
          <w:szCs w:val="28"/>
        </w:rPr>
        <w:t xml:space="preserve"> «Правовая жизнь» в контексте деятельности нового Верховного Суда РФ // Российская юстиция. 2018. № 4. С. 46 - 48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32. </w:t>
      </w:r>
      <w:r w:rsidRPr="00FD5F33">
        <w:rPr>
          <w:rFonts w:ascii="Times New Roman" w:hAnsi="Times New Roman" w:cs="Times New Roman"/>
          <w:i/>
          <w:sz w:val="28"/>
          <w:szCs w:val="28"/>
        </w:rPr>
        <w:t>Викут М.А</w:t>
      </w:r>
      <w:r w:rsidRPr="00FD5F33">
        <w:rPr>
          <w:rFonts w:ascii="Times New Roman" w:hAnsi="Times New Roman" w:cs="Times New Roman"/>
          <w:sz w:val="28"/>
          <w:szCs w:val="28"/>
        </w:rPr>
        <w:t xml:space="preserve">. О видах судопроизводства по гражданским делам // Вестник Саратовской государственной академии права. 1996. № 1. С. 15-18.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33. </w:t>
      </w:r>
      <w:r w:rsidRPr="00FD5F33">
        <w:rPr>
          <w:rFonts w:ascii="Times New Roman" w:hAnsi="Times New Roman" w:cs="Times New Roman"/>
          <w:i/>
          <w:sz w:val="28"/>
          <w:szCs w:val="28"/>
        </w:rPr>
        <w:t>Сенякин И.Н., Барсукова В.Н.</w:t>
      </w:r>
      <w:r w:rsidRPr="00FD5F33">
        <w:rPr>
          <w:rFonts w:ascii="Times New Roman" w:hAnsi="Times New Roman" w:cs="Times New Roman"/>
          <w:sz w:val="28"/>
          <w:szCs w:val="28"/>
        </w:rPr>
        <w:t xml:space="preserve"> Особенности влияния судебной реформы на системы гражданского процессуального законодательства // Вестник гражданского процесса. 2017. № 6. С. 186 – 191. </w:t>
      </w:r>
    </w:p>
    <w:p w:rsidR="00FD5F33" w:rsidRPr="00FD5F33" w:rsidRDefault="00997C4C" w:rsidP="00FD5F33">
      <w:pPr>
        <w:tabs>
          <w:tab w:val="left" w:pos="0"/>
        </w:tabs>
        <w:spacing w:line="360" w:lineRule="auto"/>
        <w:jc w:val="center"/>
        <w:rPr>
          <w:rFonts w:ascii="Times New Roman" w:hAnsi="Times New Roman" w:cs="Times New Roman"/>
          <w:b/>
          <w:sz w:val="28"/>
          <w:szCs w:val="28"/>
        </w:rPr>
      </w:pPr>
      <w:r w:rsidRPr="00FD5F33">
        <w:rPr>
          <w:rFonts w:ascii="Times New Roman" w:hAnsi="Times New Roman" w:cs="Times New Roman"/>
          <w:b/>
          <w:sz w:val="28"/>
          <w:szCs w:val="28"/>
        </w:rPr>
        <w:t>Диссертации и авторефераты диссертаций</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34. </w:t>
      </w:r>
      <w:r w:rsidRPr="00FD5F33">
        <w:rPr>
          <w:rFonts w:ascii="Times New Roman" w:hAnsi="Times New Roman" w:cs="Times New Roman"/>
          <w:i/>
          <w:sz w:val="28"/>
          <w:szCs w:val="28"/>
        </w:rPr>
        <w:t>Беспалов Ю.Ф.</w:t>
      </w:r>
      <w:r w:rsidRPr="00FD5F33">
        <w:rPr>
          <w:rFonts w:ascii="Times New Roman" w:hAnsi="Times New Roman" w:cs="Times New Roman"/>
          <w:sz w:val="28"/>
          <w:szCs w:val="28"/>
        </w:rPr>
        <w:t xml:space="preserve"> Судебная защита семейных прав ребенка: автореф. дис. …канд. юрид. наук. М., 1997. 173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 xml:space="preserve">35. </w:t>
      </w:r>
      <w:r w:rsidRPr="00FD5F33">
        <w:rPr>
          <w:rFonts w:ascii="Times New Roman" w:hAnsi="Times New Roman" w:cs="Times New Roman"/>
          <w:i/>
          <w:sz w:val="28"/>
          <w:szCs w:val="28"/>
        </w:rPr>
        <w:t>Боннер А.Т.</w:t>
      </w:r>
      <w:r w:rsidRPr="00FD5F33">
        <w:rPr>
          <w:rFonts w:ascii="Times New Roman" w:hAnsi="Times New Roman" w:cs="Times New Roman"/>
          <w:sz w:val="28"/>
          <w:szCs w:val="28"/>
        </w:rPr>
        <w:t xml:space="preserve"> Производство по делам, возникающим из административно- правовых отношений: автореф. дис. … канд. юрид. наук. М., 1966. 18 с. </w:t>
      </w:r>
    </w:p>
    <w:p w:rsid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lastRenderedPageBreak/>
        <w:t xml:space="preserve">36. </w:t>
      </w:r>
      <w:r w:rsidRPr="00FD5F33">
        <w:rPr>
          <w:rFonts w:ascii="Times New Roman" w:hAnsi="Times New Roman" w:cs="Times New Roman"/>
          <w:i/>
          <w:sz w:val="28"/>
          <w:szCs w:val="28"/>
        </w:rPr>
        <w:t>Фокина М.А</w:t>
      </w:r>
      <w:r w:rsidRPr="00FD5F33">
        <w:rPr>
          <w:rFonts w:ascii="Times New Roman" w:hAnsi="Times New Roman" w:cs="Times New Roman"/>
          <w:sz w:val="28"/>
          <w:szCs w:val="28"/>
        </w:rPr>
        <w:t>. Механизм доказывания по гражданским делам: автореф. дис. … д- ра юрид. наук. М., 2011</w:t>
      </w:r>
      <w:r w:rsidR="00FD5F33">
        <w:rPr>
          <w:rFonts w:ascii="Times New Roman" w:hAnsi="Times New Roman" w:cs="Times New Roman"/>
          <w:sz w:val="28"/>
          <w:szCs w:val="28"/>
        </w:rPr>
        <w:t xml:space="preserve">. 62 с. </w:t>
      </w:r>
    </w:p>
    <w:p w:rsidR="00FD5F33" w:rsidRPr="00FD5F33" w:rsidRDefault="00FD5F33" w:rsidP="00FD5F33">
      <w:pPr>
        <w:tabs>
          <w:tab w:val="left" w:pos="0"/>
        </w:tabs>
        <w:spacing w:line="360" w:lineRule="auto"/>
        <w:jc w:val="center"/>
        <w:rPr>
          <w:rFonts w:ascii="Times New Roman" w:hAnsi="Times New Roman" w:cs="Times New Roman"/>
          <w:b/>
          <w:sz w:val="28"/>
          <w:szCs w:val="28"/>
        </w:rPr>
      </w:pPr>
      <w:r w:rsidRPr="00FD5F33">
        <w:rPr>
          <w:rFonts w:ascii="Times New Roman" w:hAnsi="Times New Roman" w:cs="Times New Roman"/>
          <w:b/>
          <w:sz w:val="28"/>
          <w:szCs w:val="28"/>
        </w:rPr>
        <w:t>Справочная литература</w:t>
      </w:r>
    </w:p>
    <w:p w:rsidR="00FD5F33" w:rsidRDefault="00997C4C" w:rsidP="00FD5F33">
      <w:pPr>
        <w:tabs>
          <w:tab w:val="left" w:pos="0"/>
        </w:tabs>
        <w:spacing w:line="360" w:lineRule="auto"/>
        <w:jc w:val="left"/>
        <w:rPr>
          <w:rFonts w:ascii="Times New Roman" w:hAnsi="Times New Roman" w:cs="Times New Roman"/>
          <w:sz w:val="28"/>
          <w:szCs w:val="28"/>
        </w:rPr>
      </w:pPr>
      <w:r w:rsidRPr="00FD5F33">
        <w:rPr>
          <w:rFonts w:ascii="Times New Roman" w:hAnsi="Times New Roman" w:cs="Times New Roman"/>
          <w:sz w:val="28"/>
          <w:szCs w:val="28"/>
        </w:rPr>
        <w:t xml:space="preserve">37. Ожегов С.И., Шведова Н.Ю. Толковый словарь русского языка: 80 000 слов и фразеологических выражений. 4-е изд., М.: Высшая школа, 1993. 944 с. </w:t>
      </w:r>
    </w:p>
    <w:p w:rsidR="00FD5F33" w:rsidRDefault="00997C4C" w:rsidP="00FD5F33">
      <w:pPr>
        <w:tabs>
          <w:tab w:val="left" w:pos="0"/>
        </w:tabs>
        <w:spacing w:line="360" w:lineRule="auto"/>
        <w:jc w:val="center"/>
        <w:rPr>
          <w:rFonts w:ascii="Times New Roman" w:hAnsi="Times New Roman" w:cs="Times New Roman"/>
          <w:sz w:val="28"/>
          <w:szCs w:val="28"/>
        </w:rPr>
      </w:pPr>
      <w:r w:rsidRPr="00FD5F33">
        <w:rPr>
          <w:rFonts w:ascii="Times New Roman" w:hAnsi="Times New Roman" w:cs="Times New Roman"/>
          <w:b/>
          <w:sz w:val="28"/>
          <w:szCs w:val="28"/>
        </w:rPr>
        <w:t>Интернет-ресурсы</w:t>
      </w:r>
    </w:p>
    <w:p w:rsidR="00997C4C" w:rsidRPr="00FD5F33" w:rsidRDefault="00997C4C" w:rsidP="00FD5F33">
      <w:pPr>
        <w:tabs>
          <w:tab w:val="left" w:pos="0"/>
        </w:tabs>
        <w:spacing w:line="360" w:lineRule="auto"/>
        <w:rPr>
          <w:rFonts w:ascii="Times New Roman" w:hAnsi="Times New Roman" w:cs="Times New Roman"/>
          <w:sz w:val="28"/>
          <w:szCs w:val="28"/>
        </w:rPr>
      </w:pPr>
      <w:r w:rsidRPr="00FD5F33">
        <w:rPr>
          <w:rFonts w:ascii="Times New Roman" w:hAnsi="Times New Roman" w:cs="Times New Roman"/>
          <w:sz w:val="28"/>
          <w:szCs w:val="28"/>
        </w:rPr>
        <w:t>38. Порядок усыновления российских детей иностранными гражданами // МИА «РИА Сегодня». URL: https://ria.ru/20080325/102151999.html (дата обращения: 10.07.2019)</w:t>
      </w:r>
    </w:p>
    <w:sectPr w:rsidR="00997C4C" w:rsidRPr="00FD5F33" w:rsidSect="001925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349" w:rsidRDefault="00DA5349" w:rsidP="00997C4C">
      <w:r>
        <w:separator/>
      </w:r>
    </w:p>
  </w:endnote>
  <w:endnote w:type="continuationSeparator" w:id="1">
    <w:p w:rsidR="00DA5349" w:rsidRDefault="00DA5349" w:rsidP="00997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349" w:rsidRDefault="00DA5349" w:rsidP="00997C4C">
      <w:r>
        <w:separator/>
      </w:r>
    </w:p>
  </w:footnote>
  <w:footnote w:type="continuationSeparator" w:id="1">
    <w:p w:rsidR="00DA5349" w:rsidRDefault="00DA5349" w:rsidP="00997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28E"/>
    <w:multiLevelType w:val="hybridMultilevel"/>
    <w:tmpl w:val="061CD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7C4C"/>
    <w:rsid w:val="00192590"/>
    <w:rsid w:val="00562021"/>
    <w:rsid w:val="00997C4C"/>
    <w:rsid w:val="00AB044D"/>
    <w:rsid w:val="00DA5349"/>
    <w:rsid w:val="00FD5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7C4C"/>
    <w:pPr>
      <w:tabs>
        <w:tab w:val="center" w:pos="4677"/>
        <w:tab w:val="right" w:pos="9355"/>
      </w:tabs>
    </w:pPr>
  </w:style>
  <w:style w:type="character" w:customStyle="1" w:styleId="a4">
    <w:name w:val="Верхний колонтитул Знак"/>
    <w:basedOn w:val="a0"/>
    <w:link w:val="a3"/>
    <w:uiPriority w:val="99"/>
    <w:semiHidden/>
    <w:rsid w:val="00997C4C"/>
  </w:style>
  <w:style w:type="paragraph" w:styleId="a5">
    <w:name w:val="footer"/>
    <w:basedOn w:val="a"/>
    <w:link w:val="a6"/>
    <w:uiPriority w:val="99"/>
    <w:semiHidden/>
    <w:unhideWhenUsed/>
    <w:rsid w:val="00997C4C"/>
    <w:pPr>
      <w:tabs>
        <w:tab w:val="center" w:pos="4677"/>
        <w:tab w:val="right" w:pos="9355"/>
      </w:tabs>
    </w:pPr>
  </w:style>
  <w:style w:type="character" w:customStyle="1" w:styleId="a6">
    <w:name w:val="Нижний колонтитул Знак"/>
    <w:basedOn w:val="a0"/>
    <w:link w:val="a5"/>
    <w:uiPriority w:val="99"/>
    <w:semiHidden/>
    <w:rsid w:val="00997C4C"/>
  </w:style>
  <w:style w:type="paragraph" w:styleId="a7">
    <w:name w:val="List Paragraph"/>
    <w:basedOn w:val="a"/>
    <w:uiPriority w:val="34"/>
    <w:qFormat/>
    <w:rsid w:val="00FD5F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2482</Words>
  <Characters>14153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 Алексей Владимирович</dc:creator>
  <cp:keywords/>
  <dc:description/>
  <cp:lastModifiedBy>Семёнов Алексей Владимирович</cp:lastModifiedBy>
  <cp:revision>2</cp:revision>
  <dcterms:created xsi:type="dcterms:W3CDTF">2020-10-28T11:09:00Z</dcterms:created>
  <dcterms:modified xsi:type="dcterms:W3CDTF">2020-10-28T11:31:00Z</dcterms:modified>
</cp:coreProperties>
</file>