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21" w:rsidRPr="000B7C21" w:rsidRDefault="000B7C21" w:rsidP="000B7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ЗАДАНИЯ ДЛЯ ВЫПОЛНЕНИЯ КОНТРОЛЬНЫХ РАБОТ</w:t>
      </w:r>
    </w:p>
    <w:p w:rsidR="000B7C21" w:rsidRPr="000B7C21" w:rsidRDefault="000B7C21" w:rsidP="000B7C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ПО ЗЕМЕЛЬНОМУ ПРАВУ для СТУДЕНТОВ ИВВО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Цель выполнения контрольной работы - освоение студентами земельного права, самостоятельная работа с нормативными правовыми актами и литературой, ознакомление с практикой применение норм земельного права.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Контрольная работа должна быть выполнена </w:t>
      </w:r>
      <w:r w:rsidRPr="000B7C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строго по вариантам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>. По желанию студента может быть выбран первый вариант.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Перед выполнением контрольной работы необходимо внимательно ознакомиться с основными нормативными правовыми актами, регулирующими земельные отношения, судебно - арбитражной практикой применения земельного законодательства, изучить учебную и научную литературу</w:t>
      </w:r>
      <w:proofErr w:type="gramStart"/>
      <w:r w:rsidRPr="000B7C21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B7C21">
        <w:rPr>
          <w:rFonts w:ascii="Times New Roman" w:eastAsia="Times New Roman" w:hAnsi="Times New Roman" w:cs="Times New Roman"/>
          <w:sz w:val="28"/>
          <w:szCs w:val="28"/>
        </w:rPr>
        <w:t>При решении задач необходимо указывать точные ссылки на соответствующий нормы нормативных правовых актов: его название, дату принятия, орган государственной власти или местного самоуправления, принявший его, название источника, в котором он опубликован.</w:t>
      </w:r>
      <w:proofErr w:type="gramEnd"/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Основные нормативные правовые акты указаны в методических указаниях. Наряду с ними следует в обязательном порядке учитывать и акты, принятые к моменту выполнения контрольной работы. С нормативными правовыми актами студенты могут ознакомиться по официальным изданиям. 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При решении задач следует использовать разъяснения Пленума Верховного Суда РФ и Высшего Арбитражного Суда, опубликованные обзоры судебной практики по отдельным вопросам применения земельного законодательства, а также примеры из практики местных судебных, прокурорских и иных правоприменительных органов управления. При этом необходимо указать использованный источник. Примеры должны быть органически увязаны с рассматриваемыми вопросами и подтверждать соответствующие положения работы.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При выполнении первого вариант следует описать практику применения земельного законодательства в </w:t>
      </w:r>
      <w:r w:rsidRPr="000B7C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конкретном регионе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 и приложить ее анализ, используя необходимые нормативные правовые акты.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Общий объём работы не должен превышать 15-20 рукописных страниц школьной тетради. В конце работы должен быть приведён список учебной и научной литературы, использованных нормативных правовых актов. Работа должна быть подписана студентом с указанием даты её написания.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Дополнительные методические рекомендации по выполнению курсовой работы можно получить на установочной лекции.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Студент по своему желанию может выбрать первый вариант.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2 вариант - «А» - «З»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3 вариант - «И» - «Н»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4 вариант - «О» - «Я»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ВАРИАНТ 1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Студент самостоятельно выбирает три примера из судебной, арбитражной, прокурорской и иной практики применения норм земельного законодательства в </w:t>
      </w:r>
      <w:r w:rsidRPr="000B7C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конкретном регионе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>. В работе должна быть описана ситуация и дан ее правовой анализ, с использованием действующего законодательства.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ВАРИАНТ 2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1. Гражданин, являющийся собственником жилого строения и земельного участка площадью </w:t>
      </w:r>
      <w:smartTag w:uri="urn:schemas-microsoft-com:office:smarttags" w:element="metricconverter">
        <w:smartTagPr>
          <w:attr w:name="ProductID" w:val="600 кв. м"/>
        </w:smartTagPr>
        <w:r w:rsidRPr="000B7C21">
          <w:rPr>
            <w:rFonts w:ascii="Times New Roman" w:eastAsia="Times New Roman" w:hAnsi="Times New Roman" w:cs="Times New Roman"/>
            <w:sz w:val="28"/>
            <w:szCs w:val="28"/>
          </w:rPr>
          <w:t>600 кв. м</w:t>
        </w:r>
      </w:smartTag>
      <w:r w:rsidRPr="000B7C21">
        <w:rPr>
          <w:rFonts w:ascii="Times New Roman" w:eastAsia="Times New Roman" w:hAnsi="Times New Roman" w:cs="Times New Roman"/>
          <w:sz w:val="28"/>
          <w:szCs w:val="28"/>
        </w:rPr>
        <w:t>., подарил строение, сохранив право собственности на земельный участок, на котором оно размещается.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Возникнут ли права на земельный участок у владельца строения? Охарактеризуйте принцип единства судьбы земельного участка и прочно связанных с ним объектов.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2. Петрова Ольга и ее супруг   являются родителями троих несовершеннолетних детей. В апреле 2015 года гр. Петрова  обратилась в Администрацию   муниципального района Саратовской области  с заявлением о постановке ее многодетной семьи на учет в целях бесплатного предоставления земельного участка для индивидуального жилищного строительства. После рассмотрения заявления  Администрацией было  принято решение об отказе в постановке ее семьи на учет, поскольку у них есть в собственности садовый участок.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Имеет ли право семья Петровых на бесплатное предоставление земельного участка?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Каковы условия и порядок данной процедуры?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Правомерен ли отказ Администрации?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 xml:space="preserve">3. 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 Гр. Алексеева  обратилась в суд с иском к администрации городского округа   о признании права собственности на земельный участок. В обоснование иска указала, что является собственником гаража, расположенного на земельном участке площадью 140 кв. м. На ее обращение в администрацию городского округа о предоставлении в собственность земельного участка ей было отказано по причине резервирования его для муниципальных нужд. В тоже время Алексееву никто не оповещал о данном факте. 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 xml:space="preserve">Ограничиваются ли в обороте   находящиеся в государственной или муниципальной собственности   земельные участки, </w:t>
      </w:r>
      <w:r w:rsidRPr="000B7C21">
        <w:rPr>
          <w:rFonts w:ascii="Times New Roman" w:eastAsia="Times New Roman" w:hAnsi="Times New Roman" w:cs="Times New Roman"/>
          <w:i/>
          <w:iCs/>
          <w:sz w:val="28"/>
          <w:szCs w:val="28"/>
        </w:rPr>
        <w:t>расположенные в границах земель, зарезервированных для государственных или муниципальных нужд?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Опишите порядок резервирования земель для муниципальных нужд?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Имеет ли право гр. Алексеева приобрести в собственность бесплатно земельный участок, необходимый для обслуживания строения?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Правомерны ли действия администрации?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ВАРИАНТ 3 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numPr>
          <w:ilvl w:val="0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Гражданами заключен договор купли-продажи земельного участка, согласно которому участник сельскохозяйственного предприятия Петров продал жителю </w:t>
      </w:r>
      <w:proofErr w:type="gramStart"/>
      <w:r w:rsidRPr="000B7C2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. Саратова Кузнецову земельную долю в размере </w:t>
      </w:r>
      <w:smartTag w:uri="urn:schemas-microsoft-com:office:smarttags" w:element="metricconverter">
        <w:smartTagPr>
          <w:attr w:name="ProductID" w:val="20 га"/>
        </w:smartTagPr>
        <w:r w:rsidRPr="000B7C21">
          <w:rPr>
            <w:rFonts w:ascii="Times New Roman" w:eastAsia="Times New Roman" w:hAnsi="Times New Roman" w:cs="Times New Roman"/>
            <w:sz w:val="28"/>
            <w:szCs w:val="28"/>
          </w:rPr>
          <w:t>20 га</w:t>
        </w:r>
      </w:smartTag>
      <w:r w:rsidRPr="000B7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Правомерно ли совершение подобной сделки?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Охарактеризуйте полномочия собственников земельных долей.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B7C21">
        <w:rPr>
          <w:rFonts w:ascii="Times New Roman" w:eastAsia="Times New Roman" w:hAnsi="Times New Roman" w:cs="Times New Roman"/>
          <w:sz w:val="28"/>
          <w:szCs w:val="28"/>
        </w:rPr>
        <w:t>. Гражданину Соколову  на праве собственности принадлежит двухэтажное здание - магазин, расположенный  на земельном участке площадью 253 кв. м,  который ему предоставлен в аренду. В мае  2015 года он обратился в исполнительный комитет муниципального образования   с предложением о выкупе земельного участка под объектом недвижимости, принадлежащим ему на праве собственности. Однако ему было отказано и рекомендовано продлить договор аренды.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Является ли решение органа местного самоуправления законным?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Обоснуйте ответ.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</w:p>
    <w:p w:rsidR="000B7C21" w:rsidRPr="000B7C21" w:rsidRDefault="000B7C21" w:rsidP="000B7C21">
      <w:pPr>
        <w:tabs>
          <w:tab w:val="num" w:pos="-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3. Сельскохозяйственное предприятие «Сокол» пред</w:t>
      </w:r>
      <w:bookmarkStart w:id="0" w:name="OCRUncertain935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оставило в аренду </w:t>
      </w:r>
      <w:bookmarkStart w:id="1" w:name="OCRUncertain936"/>
      <w:r w:rsidRPr="000B7C21">
        <w:rPr>
          <w:rFonts w:ascii="Times New Roman" w:eastAsia="Times New Roman" w:hAnsi="Times New Roman" w:cs="Times New Roman"/>
          <w:sz w:val="28"/>
          <w:szCs w:val="28"/>
        </w:rPr>
        <w:t>предприятию «Карьер» земельный участок для добычи песка и гравия. По окончании срока дого</w:t>
      </w:r>
      <w:bookmarkStart w:id="2" w:name="OCRUncertain938"/>
      <w:r w:rsidRPr="000B7C21">
        <w:rPr>
          <w:rFonts w:ascii="Times New Roman" w:eastAsia="Times New Roman" w:hAnsi="Times New Roman" w:cs="Times New Roman"/>
          <w:sz w:val="28"/>
          <w:szCs w:val="28"/>
        </w:rPr>
        <w:t>в</w:t>
      </w:r>
      <w:bookmarkEnd w:id="0"/>
      <w:r w:rsidRPr="000B7C21">
        <w:rPr>
          <w:rFonts w:ascii="Times New Roman" w:eastAsia="Times New Roman" w:hAnsi="Times New Roman" w:cs="Times New Roman"/>
          <w:sz w:val="28"/>
          <w:szCs w:val="28"/>
        </w:rPr>
        <w:t>ора аренды предприятие «Карьер» не провело рекультивацию земельного участка. Сельскохозяйственное предприят</w:t>
      </w:r>
      <w:bookmarkStart w:id="3" w:name="OCRUncertain939"/>
      <w:r w:rsidRPr="000B7C21">
        <w:rPr>
          <w:rFonts w:ascii="Times New Roman" w:eastAsia="Times New Roman" w:hAnsi="Times New Roman" w:cs="Times New Roman"/>
          <w:sz w:val="28"/>
          <w:szCs w:val="28"/>
        </w:rPr>
        <w:t>и</w:t>
      </w:r>
      <w:bookmarkStart w:id="4" w:name="OCRUncertain940"/>
      <w:bookmarkEnd w:id="1"/>
      <w:r w:rsidRPr="000B7C21">
        <w:rPr>
          <w:rFonts w:ascii="Times New Roman" w:eastAsia="Times New Roman" w:hAnsi="Times New Roman" w:cs="Times New Roman"/>
          <w:sz w:val="28"/>
          <w:szCs w:val="28"/>
        </w:rPr>
        <w:t>е,</w:t>
      </w:r>
      <w:bookmarkEnd w:id="2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 за счет св</w:t>
      </w:r>
      <w:bookmarkStart w:id="5" w:name="OCRUncertain941"/>
      <w:r w:rsidRPr="000B7C21">
        <w:rPr>
          <w:rFonts w:ascii="Times New Roman" w:eastAsia="Times New Roman" w:hAnsi="Times New Roman" w:cs="Times New Roman"/>
          <w:sz w:val="28"/>
          <w:szCs w:val="28"/>
        </w:rPr>
        <w:t>о</w:t>
      </w:r>
      <w:bookmarkEnd w:id="3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их средств восстановило участок и </w:t>
      </w:r>
      <w:bookmarkStart w:id="6" w:name="OCRUncertain943"/>
      <w:bookmarkStart w:id="7" w:name="OCRUncertain944"/>
      <w:bookmarkEnd w:id="4"/>
      <w:bookmarkEnd w:id="5"/>
      <w:r w:rsidRPr="000B7C21">
        <w:rPr>
          <w:rFonts w:ascii="Times New Roman" w:eastAsia="Times New Roman" w:hAnsi="Times New Roman" w:cs="Times New Roman"/>
          <w:sz w:val="28"/>
          <w:szCs w:val="28"/>
        </w:rPr>
        <w:t>обратилось в арбитражный суд с иском к предприятию «Карьер» о взыскании расходов, связанных с рекультиваци</w:t>
      </w:r>
      <w:bookmarkStart w:id="8" w:name="OCRUncertain946"/>
      <w:r w:rsidRPr="000B7C21">
        <w:rPr>
          <w:rFonts w:ascii="Times New Roman" w:eastAsia="Times New Roman" w:hAnsi="Times New Roman" w:cs="Times New Roman"/>
          <w:sz w:val="28"/>
          <w:szCs w:val="28"/>
        </w:rPr>
        <w:t>е</w:t>
      </w:r>
      <w:bookmarkEnd w:id="6"/>
      <w:r w:rsidRPr="000B7C21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0B7C21" w:rsidRPr="000B7C21" w:rsidRDefault="000B7C21" w:rsidP="000B7C21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ab/>
        <w:t>Пр</w:t>
      </w:r>
      <w:bookmarkStart w:id="9" w:name="OCRUncertain947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bookmarkEnd w:id="7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воме</w:t>
      </w:r>
      <w:bookmarkEnd w:id="8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рны ли</w:t>
      </w:r>
      <w:bookmarkEnd w:id="9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 xml:space="preserve"> требования предприятия «Сокол»? Охарактеризуйте виды ответственности за нарушения земельного законодательства.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Вариант 4. 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>1. Постано</w:t>
      </w:r>
      <w:bookmarkStart w:id="10" w:name="OCRUncertain1077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влением администрации района  было создано крестьянское (фермерское) хозяйство, в собственность которому был предоставлен земельный участок площадью </w:t>
      </w:r>
      <w:smartTag w:uri="urn:schemas-microsoft-com:office:smarttags" w:element="metricconverter">
        <w:smartTagPr>
          <w:attr w:name="ProductID" w:val="350 га"/>
        </w:smartTagPr>
        <w:r w:rsidRPr="000B7C21">
          <w:rPr>
            <w:rFonts w:ascii="Times New Roman" w:eastAsia="Times New Roman" w:hAnsi="Times New Roman" w:cs="Times New Roman"/>
            <w:sz w:val="28"/>
            <w:szCs w:val="28"/>
          </w:rPr>
          <w:t>350 га</w:t>
        </w:r>
      </w:smartTag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. Весной </w:t>
      </w:r>
      <w:smartTag w:uri="urn:schemas-microsoft-com:office:smarttags" w:element="metricconverter">
        <w:smartTagPr>
          <w:attr w:name="ProductID" w:val="2008 г"/>
        </w:smartTagPr>
        <w:r w:rsidRPr="000B7C21">
          <w:rPr>
            <w:rFonts w:ascii="Times New Roman" w:eastAsia="Times New Roman" w:hAnsi="Times New Roman" w:cs="Times New Roman"/>
            <w:sz w:val="28"/>
            <w:szCs w:val="28"/>
          </w:rPr>
          <w:t>2008 г</w:t>
        </w:r>
      </w:smartTag>
      <w:r w:rsidRPr="000B7C21">
        <w:rPr>
          <w:rFonts w:ascii="Times New Roman" w:eastAsia="Times New Roman" w:hAnsi="Times New Roman" w:cs="Times New Roman"/>
          <w:sz w:val="28"/>
          <w:szCs w:val="28"/>
        </w:rPr>
        <w:t>. два члена крестьянского хозяйства, пожелав выйти из его состава, обратились с заявлением в администрацию муниципального образования района. В заявлении ставился вопрос о разделе земельного участка, предоставленного для ведения крестьянского хозяйства.</w:t>
      </w:r>
    </w:p>
    <w:p w:rsidR="000B7C21" w:rsidRPr="000B7C21" w:rsidRDefault="000B7C21" w:rsidP="000B7C21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Возможно</w:t>
      </w:r>
      <w:proofErr w:type="gramEnd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 xml:space="preserve"> ли удовлетворить просьбу указанных лиц? Каков правовой режим земель, пре</w:t>
      </w:r>
      <w:bookmarkEnd w:id="10"/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доставленных для создания и деятельности крестьянских (фермерских)  хозяйств?</w:t>
      </w:r>
    </w:p>
    <w:p w:rsidR="000B7C21" w:rsidRPr="000B7C21" w:rsidRDefault="000B7C21" w:rsidP="000B7C21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Для приобретения прав на земельный участок, на котором находится жилое строение, принадлежащее на правах собственности гр. </w:t>
      </w:r>
      <w:proofErr w:type="gramStart"/>
      <w:r w:rsidRPr="000B7C21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, проводилось межевание земельного участка. При проведении межевания кадастровый инженер не стал согласовывать границы земельного участка с правообладателями смежных земельных участков, сославшись на то, что их права на земельные участки уже зарегистрированы в органах </w:t>
      </w:r>
      <w:proofErr w:type="spellStart"/>
      <w:r w:rsidRPr="000B7C21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0B7C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Опишите порядок постановки земельного участка на кадастровый учет?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Правомерны ли действия кадастрового инженера?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3. ООО «Вита» было получено в установленном порядке разрешение на проведение земельных работ на земельных участках сельскохозяйственного </w:t>
      </w:r>
      <w:proofErr w:type="gramStart"/>
      <w:r w:rsidRPr="000B7C21">
        <w:rPr>
          <w:rFonts w:ascii="Times New Roman" w:eastAsia="Times New Roman" w:hAnsi="Times New Roman" w:cs="Times New Roman"/>
          <w:sz w:val="28"/>
          <w:szCs w:val="28"/>
        </w:rPr>
        <w:t>назначения</w:t>
      </w:r>
      <w:proofErr w:type="gramEnd"/>
      <w:r w:rsidRPr="000B7C21">
        <w:rPr>
          <w:rFonts w:ascii="Times New Roman" w:eastAsia="Times New Roman" w:hAnsi="Times New Roman" w:cs="Times New Roman"/>
          <w:sz w:val="28"/>
          <w:szCs w:val="28"/>
        </w:rPr>
        <w:t xml:space="preserve"> по демонтажу вышедших из эксплуатации водопроводных труб. В ходе проведения работ была выкопана траншея, однако, поскольку верхний плодородный слой почвы на протяжении всей длины траншеи не отделялся от нижнего глинистого горизонта, он был механически перемешен экскаватором и уничтожен.</w:t>
      </w:r>
    </w:p>
    <w:p w:rsidR="000B7C21" w:rsidRPr="000B7C21" w:rsidRDefault="000B7C21" w:rsidP="000B7C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B7C21">
        <w:rPr>
          <w:rFonts w:ascii="Times New Roman" w:eastAsia="Times New Roman" w:hAnsi="Times New Roman" w:cs="Times New Roman"/>
          <w:i/>
          <w:sz w:val="28"/>
          <w:szCs w:val="28"/>
        </w:rPr>
        <w:t>Дайте заключение о правомерности указанной деятельности.</w:t>
      </w:r>
    </w:p>
    <w:p w:rsidR="000B7C21" w:rsidRPr="000B7C21" w:rsidRDefault="000B7C21" w:rsidP="000B7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C21" w:rsidRPr="000B7C21" w:rsidRDefault="000B7C21" w:rsidP="000B7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7C21" w:rsidRPr="000B7C21" w:rsidRDefault="000B7C21" w:rsidP="000B7C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636C6" w:rsidRDefault="000636C6"/>
    <w:sectPr w:rsidR="00063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32BFE"/>
    <w:multiLevelType w:val="hybridMultilevel"/>
    <w:tmpl w:val="282805FC"/>
    <w:lvl w:ilvl="0" w:tplc="0CF0A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7C21"/>
    <w:rsid w:val="000636C6"/>
    <w:rsid w:val="000B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6467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</dc:creator>
  <cp:keywords/>
  <dc:description/>
  <cp:lastModifiedBy>Степаненко Наталья</cp:lastModifiedBy>
  <cp:revision>2</cp:revision>
  <dcterms:created xsi:type="dcterms:W3CDTF">2017-06-27T06:01:00Z</dcterms:created>
  <dcterms:modified xsi:type="dcterms:W3CDTF">2017-06-27T06:02:00Z</dcterms:modified>
</cp:coreProperties>
</file>