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6D" w:rsidRPr="00F0536D" w:rsidRDefault="00F0536D" w:rsidP="00F0536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6D">
        <w:rPr>
          <w:rFonts w:ascii="Times New Roman" w:hAnsi="Times New Roman" w:cs="Times New Roman"/>
          <w:b/>
          <w:sz w:val="28"/>
          <w:szCs w:val="28"/>
        </w:rPr>
        <w:t>9.1. Вопросы для проведения зачета по Публичному финансовому контролю (40.04.01 Юриспруденция, государственно-правовой профиль)</w:t>
      </w:r>
    </w:p>
    <w:p w:rsidR="00F0536D" w:rsidRPr="00F0536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F0536D">
        <w:rPr>
          <w:szCs w:val="28"/>
        </w:rPr>
        <w:t>Понятие и значение публичного финансового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Система публичного финансового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Правовые принципы публичного финансового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Органы, осуществляющие публичный финансовый контроль: общая характеристика.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Бюджетный контроль: понятие, значение, место в системе публичного финансового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Принципы организации бюджетного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Виды бюджетного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Методы осуществления бюджетного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Полномочия представительных и исполнительных органов власти общей компетенции в области бюджетного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Полномочия органов, осуществляющих внешний бюджетный контроль.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Контрольные и экспертно-аналитические мероприятия, проводимые контрольно-счетными органами в ходе осуществления бюджетного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Полномочия органов, осуществляющих внутренний бюджетный контроль.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Полномочия Федерального казначейства в области осуществления бюджетного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Ведомственный бюджетный контроль.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Общественный бюджетный контроль.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Бюджетные нарушения: понятие и виды.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Бюджетные меры принуждения: понятие, виды, порядок применения.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Публичный финансовый контроль и надзор в сфере финансовых рынков: общая характеристика.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Правовые основы банковского надзора.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Проверки кредитных организаций Банком России.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Меры принуждения, применяемые Банком России к кредитным организациям.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 xml:space="preserve">Правовые основы контроля и надзора Банка России за деятельностью </w:t>
      </w:r>
      <w:proofErr w:type="spellStart"/>
      <w:r w:rsidRPr="003273FD">
        <w:rPr>
          <w:rFonts w:ascii="Times New Roman" w:hAnsi="Times New Roman"/>
          <w:sz w:val="28"/>
          <w:szCs w:val="28"/>
        </w:rPr>
        <w:t>некредитных</w:t>
      </w:r>
      <w:proofErr w:type="spellEnd"/>
      <w:r w:rsidRPr="003273FD">
        <w:rPr>
          <w:rFonts w:ascii="Times New Roman" w:hAnsi="Times New Roman"/>
          <w:sz w:val="28"/>
          <w:szCs w:val="28"/>
        </w:rPr>
        <w:t xml:space="preserve"> финансовых организаций.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 xml:space="preserve">Проверки, осуществляемые в отношении </w:t>
      </w:r>
      <w:proofErr w:type="spellStart"/>
      <w:r w:rsidRPr="003273FD">
        <w:rPr>
          <w:rFonts w:ascii="Times New Roman" w:hAnsi="Times New Roman"/>
          <w:sz w:val="28"/>
          <w:szCs w:val="28"/>
        </w:rPr>
        <w:t>некредитных</w:t>
      </w:r>
      <w:proofErr w:type="spellEnd"/>
      <w:r w:rsidRPr="003273FD">
        <w:rPr>
          <w:rFonts w:ascii="Times New Roman" w:hAnsi="Times New Roman"/>
          <w:sz w:val="28"/>
          <w:szCs w:val="28"/>
        </w:rPr>
        <w:t xml:space="preserve"> финансовых организаций.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 xml:space="preserve">Меры, применяемые Банком России к </w:t>
      </w:r>
      <w:proofErr w:type="spellStart"/>
      <w:r w:rsidRPr="003273FD">
        <w:rPr>
          <w:rFonts w:ascii="Times New Roman" w:hAnsi="Times New Roman"/>
          <w:sz w:val="28"/>
          <w:szCs w:val="28"/>
        </w:rPr>
        <w:t>некредитным</w:t>
      </w:r>
      <w:proofErr w:type="spellEnd"/>
      <w:r w:rsidRPr="003273FD">
        <w:rPr>
          <w:rFonts w:ascii="Times New Roman" w:hAnsi="Times New Roman"/>
          <w:sz w:val="28"/>
          <w:szCs w:val="28"/>
        </w:rPr>
        <w:t xml:space="preserve"> финансовым организациям, за нарушение законодательства.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Правовые основы страхового надзора.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Методы осуществления страхового надзора.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Меры, применяемые Банком России за нарушение страхового законодательства.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Правовые основы надзора и наблюдения Банка России в национальной платежной системе.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lastRenderedPageBreak/>
        <w:t>Инспекционные проверки субъектов национальной платежной системы Банком России.</w:t>
      </w:r>
    </w:p>
    <w:p w:rsidR="00F0536D" w:rsidRPr="003273FD" w:rsidRDefault="00F0536D" w:rsidP="00F0536D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73FD">
        <w:rPr>
          <w:rFonts w:ascii="Times New Roman" w:hAnsi="Times New Roman"/>
          <w:sz w:val="28"/>
          <w:szCs w:val="28"/>
        </w:rPr>
        <w:t>Меры принуждения, применяемые Банком России к субъектам национальной платежной системы.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Финансовый мониторинг в системе публичного финансового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Обязательный контроль в сфере противодействия легализации доходов, полученных преступным путем, и финансированию терроризма.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Внутренний контроль в сфере противодействия легализации доходов, полученных преступным путем, и финансированию терроризма.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Налоговый мониторинг: особенности, порядок проведения.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 xml:space="preserve">Валютный контроль: понятие, содержание, субъекты. 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Права и обязанности органов и агентов валютного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Ответственность за нарушение валютного законодательства и актов органов валютного регулирования.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Правовые основы аудиторского финансового контроля.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Аудиторские проверки: виды, порядок осуществления.</w:t>
      </w:r>
    </w:p>
    <w:p w:rsidR="00F0536D" w:rsidRPr="003273FD" w:rsidRDefault="00F0536D" w:rsidP="00F0536D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line="240" w:lineRule="auto"/>
        <w:ind w:left="0" w:firstLine="0"/>
        <w:contextualSpacing w:val="0"/>
        <w:jc w:val="both"/>
        <w:rPr>
          <w:szCs w:val="28"/>
        </w:rPr>
      </w:pPr>
      <w:r w:rsidRPr="003273FD">
        <w:rPr>
          <w:szCs w:val="28"/>
        </w:rPr>
        <w:t>Правовые основы и формы общественного финансового контроля.</w:t>
      </w:r>
    </w:p>
    <w:p w:rsidR="007779B6" w:rsidRDefault="007779B6"/>
    <w:sectPr w:rsidR="0077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A66"/>
    <w:multiLevelType w:val="hybridMultilevel"/>
    <w:tmpl w:val="595A5A5C"/>
    <w:lvl w:ilvl="0" w:tplc="8C38B8B8">
      <w:start w:val="1"/>
      <w:numFmt w:val="decimal"/>
      <w:lvlText w:val="%1."/>
      <w:lvlJc w:val="left"/>
      <w:pPr>
        <w:ind w:left="3540" w:hanging="708"/>
      </w:pPr>
      <w:rPr>
        <w:rFonts w:cs="Times New Roman" w:hint="default"/>
      </w:rPr>
    </w:lvl>
    <w:lvl w:ilvl="1" w:tplc="8C38B8B8">
      <w:start w:val="1"/>
      <w:numFmt w:val="decimal"/>
      <w:lvlText w:val="%2."/>
      <w:lvlJc w:val="left"/>
      <w:pPr>
        <w:ind w:left="28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536D"/>
    <w:rsid w:val="007779B6"/>
    <w:rsid w:val="00F0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0536D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2">
    <w:name w:val="Абзац списка2"/>
    <w:basedOn w:val="a"/>
    <w:rsid w:val="00F0536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0536D"/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>SGAP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2019-06-01T06:47:00Z</dcterms:created>
  <dcterms:modified xsi:type="dcterms:W3CDTF">2019-06-01T06:49:00Z</dcterms:modified>
</cp:coreProperties>
</file>