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CA" w:rsidRDefault="00D570CA" w:rsidP="00D57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</w:t>
      </w:r>
      <w:r>
        <w:rPr>
          <w:b/>
          <w:bCs/>
          <w:sz w:val="28"/>
          <w:szCs w:val="28"/>
        </w:rPr>
        <w:br/>
        <w:t>по дисциплине «</w:t>
      </w:r>
      <w:r>
        <w:rPr>
          <w:b/>
          <w:sz w:val="28"/>
          <w:szCs w:val="28"/>
        </w:rPr>
        <w:t>Конституционное право зарубежных стран</w:t>
      </w:r>
      <w:r>
        <w:rPr>
          <w:b/>
          <w:bCs/>
          <w:sz w:val="28"/>
          <w:szCs w:val="28"/>
        </w:rPr>
        <w:t>»</w:t>
      </w:r>
    </w:p>
    <w:p w:rsidR="00D570CA" w:rsidRDefault="00D570CA" w:rsidP="00D570CA"/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виды конституций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надзор и контроль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и особенности послевоенных конституций стран Западной Европы.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и их защита в конституционном праве зарубежных стран.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Институт парламентского омбудсмена.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режим в зарубежных странах: понятие и виды.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авторитарные и тоталитарные политические режимы.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системы в зарубежных странах: понятие и виды.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Правовое положение депутатов парламентов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Парламент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Законодательный процесс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партийных систем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Европейские политические партии в современной системе власти.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Федерация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Конституционный принцип разделения властей в США и в Европе.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Президентские и парламентские республики: особенности реализации принципа разделения властей.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монархии: отличительные характеристики форм правления.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государства в зарубежных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Президент США: конституционно-правовой статус.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Конгресс США: порядок формирования, полномочия, внутренняя организация.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 xml:space="preserve"> Судебная система США.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Особенности парламентской монархии в Великобритании.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Судебная система Великобритании.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 xml:space="preserve"> Конституционный статус Президента Франции.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Конституционные основы федерализма в Германии.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 xml:space="preserve"> Конституционно-правовой статус канцлера ФРГ.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Форма государства в Италии.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строй Японии.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характерные черты конституций развивающихся стран.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 в развивающихся странах.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Конституционное развитие стран Восточной Европы.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Конституционная система органов власти в странах Восточной Европы.</w:t>
      </w:r>
    </w:p>
    <w:p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color w:val="00CC00"/>
          <w:sz w:val="28"/>
          <w:szCs w:val="28"/>
        </w:rPr>
        <w:t xml:space="preserve"> </w:t>
      </w:r>
      <w:r>
        <w:rPr>
          <w:sz w:val="28"/>
          <w:szCs w:val="28"/>
        </w:rPr>
        <w:t>Конституционная система высших органов власти КНР.</w:t>
      </w:r>
    </w:p>
    <w:p w:rsidR="001D507B" w:rsidRDefault="001D507B" w:rsidP="001C419B">
      <w:pPr>
        <w:pStyle w:val="1"/>
        <w:tabs>
          <w:tab w:val="left" w:pos="993"/>
        </w:tabs>
        <w:spacing w:before="0" w:after="0" w:line="276" w:lineRule="auto"/>
        <w:jc w:val="both"/>
      </w:pPr>
      <w:bookmarkStart w:id="0" w:name="_GoBack"/>
      <w:bookmarkEnd w:id="0"/>
    </w:p>
    <w:sectPr w:rsidR="001D507B" w:rsidSect="00700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1259"/>
    <w:multiLevelType w:val="multilevel"/>
    <w:tmpl w:val="5BEAA1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2E61"/>
    <w:multiLevelType w:val="hybridMultilevel"/>
    <w:tmpl w:val="0B2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0"/>
    <w:rsid w:val="001C419B"/>
    <w:rsid w:val="001D507B"/>
    <w:rsid w:val="00D570CA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3B2"/>
  <w15:docId w15:val="{76CE273E-96F4-4522-B3A4-2FCEC0E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C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570C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C419B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semiHidden/>
    <w:rsid w:val="001C4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ФГБОУ СГЮА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</cp:lastModifiedBy>
  <cp:revision>3</cp:revision>
  <dcterms:created xsi:type="dcterms:W3CDTF">2020-09-24T08:34:00Z</dcterms:created>
  <dcterms:modified xsi:type="dcterms:W3CDTF">2020-09-24T16:39:00Z</dcterms:modified>
</cp:coreProperties>
</file>