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877" w:rsidRDefault="00D12877" w:rsidP="00D128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Примерная тематика курсовых работ по </w:t>
      </w:r>
      <w:r>
        <w:rPr>
          <w:b/>
          <w:bCs/>
          <w:sz w:val="28"/>
          <w:szCs w:val="28"/>
        </w:rPr>
        <w:br/>
        <w:t>дисциплине «</w:t>
      </w:r>
      <w:r>
        <w:rPr>
          <w:b/>
          <w:sz w:val="28"/>
          <w:szCs w:val="28"/>
        </w:rPr>
        <w:t xml:space="preserve">Конституционное право </w:t>
      </w:r>
      <w:r>
        <w:rPr>
          <w:b/>
          <w:sz w:val="28"/>
          <w:szCs w:val="28"/>
        </w:rPr>
        <w:t>Российской Федерации</w:t>
      </w:r>
      <w:r>
        <w:rPr>
          <w:b/>
          <w:bCs/>
          <w:sz w:val="28"/>
          <w:szCs w:val="28"/>
        </w:rPr>
        <w:t>»</w:t>
      </w:r>
    </w:p>
    <w:p w:rsidR="00D12877" w:rsidRDefault="00D12877" w:rsidP="00D12877">
      <w:pPr>
        <w:jc w:val="both"/>
        <w:rPr>
          <w:rStyle w:val="2"/>
          <w:color w:val="000000"/>
          <w:sz w:val="28"/>
          <w:szCs w:val="28"/>
        </w:rPr>
      </w:pPr>
    </w:p>
    <w:p w:rsidR="00D12877" w:rsidRPr="00D12877" w:rsidRDefault="00D12877" w:rsidP="00D12877">
      <w:pPr>
        <w:pStyle w:val="20"/>
        <w:numPr>
          <w:ilvl w:val="0"/>
          <w:numId w:val="1"/>
        </w:numPr>
        <w:shd w:val="clear" w:color="auto" w:fill="auto"/>
        <w:tabs>
          <w:tab w:val="clear" w:pos="360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877">
        <w:rPr>
          <w:rStyle w:val="2"/>
          <w:rFonts w:ascii="Times New Roman" w:hAnsi="Times New Roman" w:cs="Times New Roman"/>
          <w:color w:val="000000"/>
          <w:sz w:val="28"/>
          <w:szCs w:val="28"/>
        </w:rPr>
        <w:t>Конституция в XXI веке: сравнительно-правовое исследование.</w:t>
      </w:r>
    </w:p>
    <w:p w:rsidR="00D12877" w:rsidRPr="00D12877" w:rsidRDefault="00D12877" w:rsidP="00D12877">
      <w:pPr>
        <w:pStyle w:val="20"/>
        <w:numPr>
          <w:ilvl w:val="0"/>
          <w:numId w:val="1"/>
        </w:numPr>
        <w:shd w:val="clear" w:color="auto" w:fill="auto"/>
        <w:tabs>
          <w:tab w:val="clear" w:pos="360"/>
          <w:tab w:val="left" w:pos="709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12877">
        <w:rPr>
          <w:rStyle w:val="2"/>
          <w:rFonts w:ascii="Times New Roman" w:hAnsi="Times New Roman" w:cs="Times New Roman"/>
          <w:color w:val="000000"/>
          <w:sz w:val="28"/>
          <w:szCs w:val="28"/>
        </w:rPr>
        <w:t>Конституционная реформа в России.</w:t>
      </w:r>
    </w:p>
    <w:p w:rsidR="00D12877" w:rsidRPr="00D12877" w:rsidRDefault="00D12877" w:rsidP="00D12877">
      <w:pPr>
        <w:numPr>
          <w:ilvl w:val="0"/>
          <w:numId w:val="1"/>
        </w:numPr>
        <w:tabs>
          <w:tab w:val="clear" w:pos="360"/>
          <w:tab w:val="left" w:pos="709"/>
        </w:tabs>
        <w:ind w:left="0" w:firstLine="0"/>
        <w:jc w:val="both"/>
        <w:rPr>
          <w:sz w:val="28"/>
          <w:szCs w:val="28"/>
        </w:rPr>
      </w:pPr>
      <w:r w:rsidRPr="00D12877">
        <w:rPr>
          <w:sz w:val="28"/>
          <w:szCs w:val="28"/>
        </w:rPr>
        <w:t xml:space="preserve">Принцип разделения властей в Конституции РФ: проблемы интерпретации. </w:t>
      </w:r>
    </w:p>
    <w:p w:rsidR="00D12877" w:rsidRDefault="00D12877" w:rsidP="00D12877">
      <w:pPr>
        <w:numPr>
          <w:ilvl w:val="0"/>
          <w:numId w:val="1"/>
        </w:numPr>
        <w:tabs>
          <w:tab w:val="clear" w:pos="360"/>
          <w:tab w:val="left" w:pos="709"/>
        </w:tabs>
        <w:ind w:left="0" w:firstLine="0"/>
        <w:jc w:val="both"/>
        <w:rPr>
          <w:sz w:val="28"/>
          <w:szCs w:val="28"/>
        </w:rPr>
      </w:pPr>
      <w:r w:rsidRPr="00D12877">
        <w:rPr>
          <w:sz w:val="28"/>
          <w:szCs w:val="28"/>
        </w:rPr>
        <w:t>Значение Саратовского проекта Конституции РФ в принятии действующей</w:t>
      </w:r>
      <w:r>
        <w:rPr>
          <w:sz w:val="28"/>
          <w:szCs w:val="28"/>
        </w:rPr>
        <w:t xml:space="preserve"> конституции и науке конституционного права.</w:t>
      </w:r>
    </w:p>
    <w:p w:rsidR="00D12877" w:rsidRDefault="00D12877" w:rsidP="00D12877">
      <w:pPr>
        <w:pStyle w:val="-1"/>
        <w:numPr>
          <w:ilvl w:val="0"/>
          <w:numId w:val="1"/>
        </w:numPr>
        <w:tabs>
          <w:tab w:val="clear" w:pos="360"/>
          <w:tab w:val="left" w:pos="540"/>
          <w:tab w:val="left" w:pos="567"/>
          <w:tab w:val="left" w:pos="709"/>
        </w:tabs>
        <w:spacing w:line="240" w:lineRule="auto"/>
        <w:ind w:left="0" w:firstLine="0"/>
      </w:pPr>
      <w:r>
        <w:t>Выборы и референдум п</w:t>
      </w:r>
      <w:bookmarkStart w:id="0" w:name="_GoBack"/>
      <w:bookmarkEnd w:id="0"/>
      <w:r>
        <w:t>о Конституции РФ как равнозначные формы демократии.</w:t>
      </w:r>
    </w:p>
    <w:p w:rsidR="00D12877" w:rsidRDefault="00D12877" w:rsidP="00D12877">
      <w:pPr>
        <w:numPr>
          <w:ilvl w:val="0"/>
          <w:numId w:val="1"/>
        </w:numPr>
        <w:tabs>
          <w:tab w:val="clear" w:pos="360"/>
          <w:tab w:val="left" w:pos="540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России и решения межгосударственных органов по правам человека: проблемы имплементации.</w:t>
      </w:r>
    </w:p>
    <w:p w:rsidR="00D12877" w:rsidRDefault="00D12877" w:rsidP="00D12877">
      <w:pPr>
        <w:numPr>
          <w:ilvl w:val="0"/>
          <w:numId w:val="1"/>
        </w:numPr>
        <w:tabs>
          <w:tab w:val="clear" w:pos="360"/>
          <w:tab w:val="left" w:pos="540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Проблемы развития конституционной социологии на современном этапе.</w:t>
      </w:r>
    </w:p>
    <w:p w:rsidR="00D12877" w:rsidRDefault="00D12877" w:rsidP="00D12877">
      <w:pPr>
        <w:numPr>
          <w:ilvl w:val="0"/>
          <w:numId w:val="1"/>
        </w:numPr>
        <w:tabs>
          <w:tab w:val="clear" w:pos="360"/>
          <w:tab w:val="left" w:pos="540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Конституционная экономика в России.</w:t>
      </w:r>
    </w:p>
    <w:p w:rsidR="00D12877" w:rsidRDefault="00D12877" w:rsidP="00D12877">
      <w:pPr>
        <w:numPr>
          <w:ilvl w:val="0"/>
          <w:numId w:val="1"/>
        </w:numPr>
        <w:tabs>
          <w:tab w:val="clear" w:pos="360"/>
          <w:tab w:val="left" w:pos="540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России и новые права человека: проблемы охраны и защиты.</w:t>
      </w:r>
    </w:p>
    <w:p w:rsidR="00D12877" w:rsidRDefault="00D12877" w:rsidP="00D12877">
      <w:pPr>
        <w:numPr>
          <w:ilvl w:val="0"/>
          <w:numId w:val="1"/>
        </w:numPr>
        <w:tabs>
          <w:tab w:val="clear" w:pos="360"/>
          <w:tab w:val="left" w:pos="540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Конституция РФ и информационная безопасность личности.</w:t>
      </w:r>
    </w:p>
    <w:p w:rsidR="00D12877" w:rsidRDefault="00D12877" w:rsidP="00D12877">
      <w:pPr>
        <w:pStyle w:val="a3"/>
        <w:numPr>
          <w:ilvl w:val="0"/>
          <w:numId w:val="1"/>
        </w:numPr>
        <w:tabs>
          <w:tab w:val="clear" w:pos="360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Роль прокуратуры и конституционных (уставных) судов субъектов по обеспечению конституционности правовых актов органов местного самоуправления уставам субъектов.</w:t>
      </w:r>
    </w:p>
    <w:p w:rsidR="00D12877" w:rsidRDefault="00D12877" w:rsidP="00D12877">
      <w:pPr>
        <w:pStyle w:val="a3"/>
        <w:numPr>
          <w:ilvl w:val="0"/>
          <w:numId w:val="1"/>
        </w:numPr>
        <w:tabs>
          <w:tab w:val="clear" w:pos="360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Конституционное право на личную неприкосновенность: реализация и защита.</w:t>
      </w:r>
      <w:r>
        <w:rPr>
          <w:i/>
          <w:sz w:val="28"/>
          <w:szCs w:val="28"/>
        </w:rPr>
        <w:t xml:space="preserve"> </w:t>
      </w:r>
    </w:p>
    <w:p w:rsidR="00D12877" w:rsidRDefault="00D12877" w:rsidP="00D12877">
      <w:pPr>
        <w:pStyle w:val="p79"/>
        <w:numPr>
          <w:ilvl w:val="0"/>
          <w:numId w:val="1"/>
        </w:numPr>
        <w:shd w:val="clear" w:color="auto" w:fill="FFFFFF"/>
        <w:tabs>
          <w:tab w:val="clear" w:pos="360"/>
          <w:tab w:val="left" w:pos="709"/>
          <w:tab w:val="left" w:pos="1080"/>
        </w:tabs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Перспективы развития института уполномоченного по правам народов в субъектах РФ</w:t>
      </w:r>
      <w:r>
        <w:rPr>
          <w:rStyle w:val="s18"/>
          <w:bCs/>
          <w:iCs/>
          <w:color w:val="000000"/>
          <w:sz w:val="28"/>
          <w:szCs w:val="28"/>
        </w:rPr>
        <w:t>.</w:t>
      </w:r>
    </w:p>
    <w:p w:rsidR="00D12877" w:rsidRDefault="00D12877" w:rsidP="00D12877">
      <w:pPr>
        <w:numPr>
          <w:ilvl w:val="0"/>
          <w:numId w:val="1"/>
        </w:numPr>
        <w:tabs>
          <w:tab w:val="clear" w:pos="360"/>
          <w:tab w:val="left" w:pos="709"/>
          <w:tab w:val="left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создания и функционирования кассационных и апелляционных судов общей юрисдикции.</w:t>
      </w:r>
    </w:p>
    <w:p w:rsidR="00D12877" w:rsidRDefault="00D12877" w:rsidP="00D12877">
      <w:pPr>
        <w:pStyle w:val="-1"/>
        <w:numPr>
          <w:ilvl w:val="0"/>
          <w:numId w:val="1"/>
        </w:numPr>
        <w:tabs>
          <w:tab w:val="clear" w:pos="360"/>
          <w:tab w:val="left" w:pos="540"/>
          <w:tab w:val="left" w:pos="567"/>
          <w:tab w:val="left" w:pos="709"/>
        </w:tabs>
        <w:spacing w:line="240" w:lineRule="auto"/>
        <w:ind w:left="0" w:firstLine="0"/>
      </w:pPr>
      <w:r>
        <w:t xml:space="preserve">Россия-Крым-Севастополь: проблемы интеграции на современном этапе. </w:t>
      </w:r>
    </w:p>
    <w:p w:rsidR="00D12877" w:rsidRDefault="00D12877" w:rsidP="00D12877">
      <w:pPr>
        <w:numPr>
          <w:ilvl w:val="0"/>
          <w:numId w:val="1"/>
        </w:numPr>
        <w:tabs>
          <w:tab w:val="clear" w:pos="360"/>
          <w:tab w:val="left" w:pos="540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Конституционно-правовые способы борьбы с правовым нигилизмом и абсентеизмом.</w:t>
      </w:r>
    </w:p>
    <w:p w:rsidR="00D12877" w:rsidRDefault="00D12877" w:rsidP="00D12877">
      <w:pPr>
        <w:numPr>
          <w:ilvl w:val="0"/>
          <w:numId w:val="1"/>
        </w:numPr>
        <w:tabs>
          <w:tab w:val="clear" w:pos="360"/>
          <w:tab w:val="left" w:pos="540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Проблемы реализации прямого избирательного права на современном этапе в контексте электронного голосования.</w:t>
      </w:r>
    </w:p>
    <w:p w:rsidR="00D12877" w:rsidRDefault="00D12877" w:rsidP="00D12877">
      <w:pPr>
        <w:numPr>
          <w:ilvl w:val="0"/>
          <w:numId w:val="1"/>
        </w:numPr>
        <w:tabs>
          <w:tab w:val="clear" w:pos="360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Правовые позиции Европейского Суда по правам человека по проблемам права на свободные выборы в РФ. </w:t>
      </w:r>
    </w:p>
    <w:p w:rsidR="00D12877" w:rsidRDefault="00D12877" w:rsidP="00D12877">
      <w:pPr>
        <w:numPr>
          <w:ilvl w:val="0"/>
          <w:numId w:val="1"/>
        </w:numPr>
        <w:tabs>
          <w:tab w:val="clear" w:pos="360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Конституционный принцип равенства общественных </w:t>
      </w:r>
      <w:proofErr w:type="gramStart"/>
      <w:r>
        <w:rPr>
          <w:sz w:val="28"/>
          <w:szCs w:val="28"/>
        </w:rPr>
        <w:t>объединений  в</w:t>
      </w:r>
      <w:proofErr w:type="gramEnd"/>
      <w:r>
        <w:rPr>
          <w:sz w:val="28"/>
          <w:szCs w:val="28"/>
        </w:rPr>
        <w:t xml:space="preserve"> системе народовластия.</w:t>
      </w:r>
    </w:p>
    <w:p w:rsidR="00D12877" w:rsidRDefault="00D12877" w:rsidP="00D12877">
      <w:pPr>
        <w:numPr>
          <w:ilvl w:val="0"/>
          <w:numId w:val="1"/>
        </w:numPr>
        <w:tabs>
          <w:tab w:val="clear" w:pos="360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правовых гарантий общественного контроля в РФ.</w:t>
      </w:r>
    </w:p>
    <w:p w:rsidR="00D12877" w:rsidRDefault="00D12877" w:rsidP="00D12877">
      <w:pPr>
        <w:numPr>
          <w:ilvl w:val="0"/>
          <w:numId w:val="1"/>
        </w:numPr>
        <w:tabs>
          <w:tab w:val="clear" w:pos="360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Проблемные вопросы повышения активности участия граждан в реализации народной правотворческой инициативы.</w:t>
      </w:r>
    </w:p>
    <w:p w:rsidR="00D12877" w:rsidRDefault="00D12877" w:rsidP="00D12877">
      <w:pPr>
        <w:pStyle w:val="a3"/>
        <w:numPr>
          <w:ilvl w:val="0"/>
          <w:numId w:val="1"/>
        </w:numPr>
        <w:tabs>
          <w:tab w:val="clear" w:pos="360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Публичные интересы как форма выражения защиты основ конституционного строя прокуратурой РФ.</w:t>
      </w:r>
    </w:p>
    <w:p w:rsidR="00D12877" w:rsidRDefault="00D12877" w:rsidP="00D12877">
      <w:pPr>
        <w:pStyle w:val="a3"/>
        <w:numPr>
          <w:ilvl w:val="0"/>
          <w:numId w:val="1"/>
        </w:numPr>
        <w:tabs>
          <w:tab w:val="clear" w:pos="360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Роль прокуратуры в блокировании Интернет-контента экстремисткой направленности и информации, причиняющей вред здоровью и психике детей.</w:t>
      </w:r>
    </w:p>
    <w:p w:rsidR="00D12877" w:rsidRDefault="00D12877" w:rsidP="00D12877">
      <w:pPr>
        <w:pStyle w:val="a3"/>
        <w:numPr>
          <w:ilvl w:val="0"/>
          <w:numId w:val="1"/>
        </w:numPr>
        <w:tabs>
          <w:tab w:val="clear" w:pos="360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Прокурор – государственный защитник конституционных прав граждан.</w:t>
      </w:r>
    </w:p>
    <w:p w:rsidR="00D12877" w:rsidRDefault="00D12877" w:rsidP="00D12877">
      <w:pPr>
        <w:pStyle w:val="a3"/>
        <w:numPr>
          <w:ilvl w:val="0"/>
          <w:numId w:val="1"/>
        </w:numPr>
        <w:tabs>
          <w:tab w:val="clear" w:pos="360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Протест прокурора как средство по обеспечению конституционности актов судов.</w:t>
      </w:r>
    </w:p>
    <w:p w:rsidR="00D12877" w:rsidRDefault="00D12877" w:rsidP="00D12877">
      <w:pPr>
        <w:numPr>
          <w:ilvl w:val="0"/>
          <w:numId w:val="1"/>
        </w:numPr>
        <w:tabs>
          <w:tab w:val="clear" w:pos="360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Конституционное право на жизнь и право на благоприятную окружающую среду (сравнительно-правовой анализ).</w:t>
      </w:r>
    </w:p>
    <w:p w:rsidR="00D12877" w:rsidRDefault="00D12877" w:rsidP="00D12877">
      <w:pPr>
        <w:numPr>
          <w:ilvl w:val="0"/>
          <w:numId w:val="1"/>
        </w:numPr>
        <w:tabs>
          <w:tab w:val="clear" w:pos="360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к информации о деятельности государственных органов. </w:t>
      </w:r>
    </w:p>
    <w:p w:rsidR="00D12877" w:rsidRDefault="00D12877" w:rsidP="00D12877">
      <w:pPr>
        <w:pStyle w:val="a3"/>
        <w:numPr>
          <w:ilvl w:val="0"/>
          <w:numId w:val="1"/>
        </w:numPr>
        <w:tabs>
          <w:tab w:val="clear" w:pos="360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Практика рассмотрения дел </w:t>
      </w:r>
      <w:proofErr w:type="gramStart"/>
      <w:r>
        <w:rPr>
          <w:sz w:val="28"/>
          <w:szCs w:val="28"/>
        </w:rPr>
        <w:t>прокуратурой  о</w:t>
      </w:r>
      <w:proofErr w:type="gramEnd"/>
      <w:r>
        <w:rPr>
          <w:sz w:val="28"/>
          <w:szCs w:val="28"/>
        </w:rPr>
        <w:t xml:space="preserve"> нарушении конституционного права на обращение. </w:t>
      </w:r>
    </w:p>
    <w:p w:rsidR="00D12877" w:rsidRDefault="00D12877" w:rsidP="00D12877">
      <w:pPr>
        <w:pStyle w:val="a3"/>
        <w:numPr>
          <w:ilvl w:val="0"/>
          <w:numId w:val="1"/>
        </w:numPr>
        <w:tabs>
          <w:tab w:val="clear" w:pos="360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Защита органами прокуратуры избирательных прав граждан.</w:t>
      </w:r>
    </w:p>
    <w:p w:rsidR="00D12877" w:rsidRDefault="00D12877" w:rsidP="00D12877">
      <w:pPr>
        <w:numPr>
          <w:ilvl w:val="0"/>
          <w:numId w:val="1"/>
        </w:numPr>
        <w:tabs>
          <w:tab w:val="clear" w:pos="360"/>
          <w:tab w:val="left" w:pos="709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Проблемы реализации социальных прав и свобод человека и гражданина в Российской Федерации.</w:t>
      </w:r>
    </w:p>
    <w:p w:rsidR="00D12877" w:rsidRDefault="00D12877" w:rsidP="00D12877">
      <w:pPr>
        <w:numPr>
          <w:ilvl w:val="0"/>
          <w:numId w:val="1"/>
        </w:numPr>
        <w:tabs>
          <w:tab w:val="clear" w:pos="360"/>
          <w:tab w:val="left" w:pos="709"/>
          <w:tab w:val="left" w:pos="108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на свободу выражения мнения, свободу совести и религии: общее и </w:t>
      </w:r>
      <w:proofErr w:type="gramStart"/>
      <w:r>
        <w:rPr>
          <w:sz w:val="28"/>
          <w:szCs w:val="28"/>
        </w:rPr>
        <w:t>особенное  в</w:t>
      </w:r>
      <w:proofErr w:type="gramEnd"/>
      <w:r>
        <w:rPr>
          <w:sz w:val="28"/>
          <w:szCs w:val="28"/>
        </w:rPr>
        <w:t xml:space="preserve"> нормативном содержании.</w:t>
      </w:r>
    </w:p>
    <w:p w:rsidR="00D12877" w:rsidRDefault="00D12877" w:rsidP="00D12877">
      <w:pPr>
        <w:numPr>
          <w:ilvl w:val="0"/>
          <w:numId w:val="1"/>
        </w:numPr>
        <w:tabs>
          <w:tab w:val="clear" w:pos="360"/>
          <w:tab w:val="left" w:pos="0"/>
          <w:tab w:val="left" w:pos="540"/>
          <w:tab w:val="left" w:pos="709"/>
        </w:tabs>
        <w:ind w:left="0" w:firstLine="0"/>
        <w:jc w:val="both"/>
      </w:pPr>
      <w:r>
        <w:rPr>
          <w:sz w:val="28"/>
          <w:szCs w:val="28"/>
        </w:rPr>
        <w:t>Проблемы защиты государственного суверенитета РФ.</w:t>
      </w:r>
    </w:p>
    <w:p w:rsidR="00D12877" w:rsidRDefault="00D12877" w:rsidP="00D12877">
      <w:pPr>
        <w:pStyle w:val="a3"/>
        <w:numPr>
          <w:ilvl w:val="0"/>
          <w:numId w:val="1"/>
        </w:numPr>
        <w:tabs>
          <w:tab w:val="clear" w:pos="360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Конституционные основы судебной системы в РФ.</w:t>
      </w:r>
    </w:p>
    <w:p w:rsidR="00D12877" w:rsidRDefault="00D12877" w:rsidP="00D12877">
      <w:pPr>
        <w:pStyle w:val="a3"/>
        <w:numPr>
          <w:ilvl w:val="0"/>
          <w:numId w:val="1"/>
        </w:numPr>
        <w:tabs>
          <w:tab w:val="clear" w:pos="360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Конституционный Суд РФ как гарант прав человека и гражданина.</w:t>
      </w:r>
    </w:p>
    <w:p w:rsidR="00D12877" w:rsidRDefault="00D12877" w:rsidP="00D12877">
      <w:pPr>
        <w:pStyle w:val="a3"/>
        <w:numPr>
          <w:ilvl w:val="0"/>
          <w:numId w:val="1"/>
        </w:numPr>
        <w:tabs>
          <w:tab w:val="clear" w:pos="360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Институт гражданства в РФ.</w:t>
      </w:r>
    </w:p>
    <w:p w:rsidR="00D12877" w:rsidRDefault="00D12877" w:rsidP="00D12877">
      <w:pPr>
        <w:pStyle w:val="a3"/>
        <w:numPr>
          <w:ilvl w:val="0"/>
          <w:numId w:val="1"/>
        </w:numPr>
        <w:tabs>
          <w:tab w:val="clear" w:pos="360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Президент России как гарант прав и свобод человека и гражданина.</w:t>
      </w:r>
    </w:p>
    <w:p w:rsidR="00D12877" w:rsidRDefault="00D12877" w:rsidP="00D12877">
      <w:pPr>
        <w:pStyle w:val="a3"/>
        <w:numPr>
          <w:ilvl w:val="0"/>
          <w:numId w:val="1"/>
        </w:numPr>
        <w:tabs>
          <w:tab w:val="clear" w:pos="360"/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Роль Правительства РФ в реализации национальных проектов. </w:t>
      </w:r>
    </w:p>
    <w:p w:rsidR="00D12877" w:rsidRDefault="00D12877" w:rsidP="00D12877">
      <w:pPr>
        <w:widowControl/>
        <w:numPr>
          <w:ilvl w:val="0"/>
          <w:numId w:val="1"/>
        </w:numPr>
        <w:tabs>
          <w:tab w:val="clear" w:pos="360"/>
          <w:tab w:val="left" w:pos="709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Применение правовых позиций Конституционного Суда РФ судами общей юрисдикции. </w:t>
      </w:r>
    </w:p>
    <w:p w:rsidR="00D12877" w:rsidRDefault="00D12877" w:rsidP="00D12877">
      <w:pPr>
        <w:widowControl/>
        <w:numPr>
          <w:ilvl w:val="0"/>
          <w:numId w:val="1"/>
        </w:numPr>
        <w:tabs>
          <w:tab w:val="clear" w:pos="360"/>
          <w:tab w:val="left" w:pos="709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Военные суды и военная прокуратура в конституционной системе власти.</w:t>
      </w:r>
    </w:p>
    <w:p w:rsidR="00D12877" w:rsidRDefault="00D12877" w:rsidP="00D12877">
      <w:pPr>
        <w:widowControl/>
        <w:numPr>
          <w:ilvl w:val="0"/>
          <w:numId w:val="1"/>
        </w:numPr>
        <w:tabs>
          <w:tab w:val="clear" w:pos="360"/>
          <w:tab w:val="left" w:pos="709"/>
        </w:tabs>
        <w:autoSpaceDE/>
        <w:adjustRightInd/>
        <w:ind w:left="0" w:firstLine="0"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Защита социальных прав органами прокуратуры.</w:t>
      </w:r>
    </w:p>
    <w:p w:rsidR="00D12877" w:rsidRDefault="00D12877" w:rsidP="00D12877">
      <w:pPr>
        <w:widowControl/>
        <w:numPr>
          <w:ilvl w:val="0"/>
          <w:numId w:val="1"/>
        </w:numPr>
        <w:tabs>
          <w:tab w:val="clear" w:pos="360"/>
          <w:tab w:val="left" w:pos="709"/>
        </w:tabs>
        <w:autoSpaceDE/>
        <w:adjustRightInd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Защита органами прокуратуры субъектов малого и среднего бизнеса.</w:t>
      </w:r>
    </w:p>
    <w:p w:rsidR="00D12877" w:rsidRDefault="00D12877" w:rsidP="00D12877">
      <w:pPr>
        <w:widowControl/>
        <w:tabs>
          <w:tab w:val="left" w:pos="709"/>
        </w:tabs>
        <w:autoSpaceDE/>
        <w:adjustRightInd/>
      </w:pPr>
    </w:p>
    <w:p w:rsidR="00D12877" w:rsidRDefault="00D12877" w:rsidP="00D12877">
      <w:pPr>
        <w:tabs>
          <w:tab w:val="left" w:pos="360"/>
          <w:tab w:val="left" w:pos="900"/>
        </w:tabs>
        <w:ind w:firstLine="72"/>
        <w:jc w:val="both"/>
        <w:rPr>
          <w:sz w:val="28"/>
          <w:szCs w:val="28"/>
        </w:rPr>
      </w:pPr>
    </w:p>
    <w:p w:rsidR="00D12877" w:rsidRDefault="00D12877" w:rsidP="00D12877">
      <w:pPr>
        <w:tabs>
          <w:tab w:val="left" w:pos="360"/>
          <w:tab w:val="left" w:pos="900"/>
        </w:tabs>
        <w:jc w:val="both"/>
        <w:rPr>
          <w:sz w:val="28"/>
          <w:szCs w:val="28"/>
        </w:rPr>
      </w:pPr>
    </w:p>
    <w:p w:rsidR="00D12877" w:rsidRDefault="00D12877" w:rsidP="00D12877"/>
    <w:p w:rsidR="00773F3B" w:rsidRDefault="00773F3B"/>
    <w:sectPr w:rsidR="0077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FCCD454"/>
    <w:lvl w:ilvl="0" w:tplc="4DF87F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3C"/>
    <w:rsid w:val="00773F3B"/>
    <w:rsid w:val="00CD653C"/>
    <w:rsid w:val="00D1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79F37"/>
  <w15:chartTrackingRefBased/>
  <w15:docId w15:val="{C106075E-E82C-4824-BBEA-1ED1D6D6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12877"/>
    <w:pPr>
      <w:widowControl/>
      <w:adjustRightInd/>
      <w:ind w:left="360" w:firstLine="36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128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D12877"/>
    <w:rPr>
      <w:sz w:val="88"/>
      <w:szCs w:val="8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2877"/>
    <w:pPr>
      <w:shd w:val="clear" w:color="auto" w:fill="FFFFFF"/>
      <w:spacing w:line="240" w:lineRule="atLeast"/>
      <w:ind w:hanging="1060"/>
    </w:pPr>
    <w:rPr>
      <w:rFonts w:asciiTheme="minorHAnsi" w:eastAsiaTheme="minorHAnsi" w:hAnsiTheme="minorHAnsi" w:cstheme="minorBidi"/>
      <w:sz w:val="88"/>
      <w:szCs w:val="88"/>
      <w:lang w:eastAsia="en-US"/>
    </w:rPr>
  </w:style>
  <w:style w:type="paragraph" w:customStyle="1" w:styleId="-1">
    <w:name w:val="Т-1"/>
    <w:aliases w:val="5,текст14-1"/>
    <w:basedOn w:val="a"/>
    <w:rsid w:val="00D12877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p79">
    <w:name w:val="p79"/>
    <w:basedOn w:val="a"/>
    <w:rsid w:val="00D12877"/>
    <w:pPr>
      <w:spacing w:before="100" w:beforeAutospacing="1" w:after="100" w:afterAutospacing="1"/>
    </w:pPr>
    <w:rPr>
      <w:sz w:val="24"/>
      <w:szCs w:val="24"/>
    </w:rPr>
  </w:style>
  <w:style w:type="character" w:customStyle="1" w:styleId="s18">
    <w:name w:val="s18"/>
    <w:rsid w:val="00D12877"/>
    <w:rPr>
      <w:rFonts w:ascii="Times New Roman" w:eastAsia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5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2020-09-24T17:06:00Z</dcterms:created>
  <dcterms:modified xsi:type="dcterms:W3CDTF">2020-09-24T17:08:00Z</dcterms:modified>
</cp:coreProperties>
</file>